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type="auto" w:w="0"/>
        <w:jc w:val="center"/>
        <w:tblLayout w:type="fixed"/>
        <w:tblLook w:firstColumn="1" w:firstRow="1" w:lastColumn="0" w:lastRow="0" w:noHBand="0" w:noVBand="1" w:val="04A0"/>
        <w:tblBorders>
          <w:top w:val="nil"/>
          <w:left w:val="nil"/>
          <w:bottom w:val="nil"/>
          <w:right w:val="nil"/>
          <w:insideH w:val="nil"/>
          <w:insideV w:val="nil"/>
        </w:tblBorders>
      </w:tblPr>
      <w:tblGrid>
        <w:gridCol w:w="979"/>
        <w:gridCol w:w="5357"/>
        <w:gridCol w:w="3600"/>
      </w:tblGrid>
      <w:tr>
        <w:tc>
          <w:tcPr>
            <w:tcW w:type="dxa" w:w="979"/>
            <w:tcMar>
              <w:top w:w="0" w:type="dxa"/>
              <w:start w:w="0" w:type="dxa"/>
              <w:bottom w:w="0" w:type="dxa"/>
              <w:end w:w="60" w:type="dxa"/>
            </w:tcMar>
            <w:vAlign w:val="center"/>
          </w:tcPr>
          <w:p>
            <w:pPr>
              <w:spacing w:after="0"/>
              <w:jc w:val="center"/>
            </w:pPr>
            <w:r>
              <w:drawing>
                <wp:inline xmlns:a="http://schemas.openxmlformats.org/drawingml/2006/main" xmlns:pic="http://schemas.openxmlformats.org/drawingml/2006/picture">
                  <wp:extent cx="475488" cy="475488"/>
                  <wp:docPr id="1" name="Picture 1"/>
                  <wp:cNvGraphicFramePr>
                    <a:graphicFrameLocks noChangeAspect="1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brand-mark.pn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5488" cy="475488"/>
                          </a:xfrm>
                          <a:prstGeom prst="rect"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type="dxa" w:w="5357"/>
            <w:tcMar>
              <w:top w:w="0" w:type="dxa"/>
              <w:start w:w="20" w:type="dxa"/>
              <w:bottom w:w="0" w:type="dxa"/>
              <w:end w:w="60" w:type="dxa"/>
            </w:tcMar>
            <w:vAlign w:val="center"/>
          </w:tcPr>
          <w:p>
            <w:pPr>
              <w:spacing w:before="0" w:after="0" w:line="360" w:lineRule="exact"/>
            </w:pPr>
            <w:r>
              <w:rPr>
                <w:rFonts w:ascii="Arial" w:hAnsi="Arial"/>
                <w:b/>
                <w:color w:val="173C49"/>
                <w:sz w:val="34"/>
              </w:rPr>
              <w:t>MedikCase</w:t>
            </w:r>
          </w:p>
          <w:p>
            <w:pPr>
              <w:spacing w:before="0" w:after="0" w:line="180" w:lineRule="exact"/>
            </w:pPr>
            <w:r>
              <w:rPr>
                <w:rFonts w:ascii="Arial" w:hAnsi="Arial"/>
                <w:b w:val="0"/>
                <w:color w:val="5B7180"/>
                <w:sz w:val="15"/>
              </w:rPr>
              <w:t>Система самостоятельной подготовки к аккредитации</w:t>
            </w:r>
          </w:p>
        </w:tc>
        <w:tc>
          <w:tcPr>
            <w:tcW w:type="dxa" w:w="3600"/>
            <w:vAlign w:val="center"/>
            <w:shd w:fill="FFF8F0"/>
          </w:tcPr>
          <w:p>
            <w:pPr>
              <w:spacing w:after="0"/>
              <w:jc w:val="center"/>
            </w:pPr>
            <w:r>
              <w:rPr>
                <w:rFonts w:ascii="Arial" w:hAnsi="Arial"/>
                <w:b/>
                <w:color w:val="A84F27"/>
                <w:sz w:val="15"/>
              </w:rPr>
              <w:t>ТОЛЬКО ДЛЯ ЛИЧНОГО</w:t>
              <w:br/>
              <w:t>ИСПОЛЬЗОВАНИЯ</w:t>
            </w:r>
          </w:p>
        </w:tc>
      </w:tr>
    </w:tbl>
    <w:p>
      <w:pPr>
        <w:spacing w:after="0"/>
      </w:pPr>
    </w:p>
    <w:tbl>
      <w:tblPr>
        <w:tblW w:type="auto" w:w="0"/>
        <w:jc w:val="center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173C49"/>
            <w:tcMar>
              <w:top w:w="180" w:type="dxa"/>
              <w:start w:w="260" w:type="dxa"/>
              <w:bottom w:w="170" w:type="dxa"/>
              <w:end w:w="260" w:type="dxa"/>
            </w:tcMar>
          </w:tcPr>
          <w:p>
            <w:pPr>
              <w:spacing w:after="20"/>
            </w:pPr>
            <w:r>
              <w:rPr>
                <w:rFonts w:ascii="Arial" w:hAnsi="Arial"/>
                <w:b/>
                <w:color w:val="FFFFFF"/>
                <w:sz w:val="36"/>
              </w:rPr>
              <w:t>Пластическая хирургия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F7F2E9"/>
                <w:sz w:val="14"/>
              </w:rPr>
              <w:t>Высшее образование   ·   DOCX · PDF   ·   Задач: 2   ·   Вопросов: 24</w:t>
            </w:r>
          </w:p>
        </w:tc>
      </w:tr>
    </w:tbl>
    <w:p>
      <w:pPr>
        <w:spacing w:before="40" w:after="80"/>
        <w:jc w:val="right"/>
      </w:pPr>
      <w:r>
        <w:rPr>
          <w:rFonts w:ascii="Arial" w:hAnsi="Arial"/>
          <w:b w:val="0"/>
          <w:color w:val="5B7180"/>
          <w:sz w:val="13"/>
        </w:rPr>
        <w:t>Сформировано: 27.08.2026, 21:44 МСК · База обновлена: 27.08.2026, 21:36 МСК</w:t>
      </w:r>
    </w:p>
    <w:p>
      <w:pPr>
        <w:spacing w:before="80" w:after="60"/>
      </w:pPr>
      <w:r>
        <w:rPr>
          <w:rFonts w:ascii="Arial" w:hAnsi="Arial"/>
          <w:b/>
          <w:color w:val="D98152"/>
          <w:sz w:val="18"/>
        </w:rPr>
        <w:t xml:space="preserve">-  </w:t>
      </w:r>
      <w:r>
        <w:rPr>
          <w:rFonts w:ascii="Arial" w:hAnsi="Arial"/>
          <w:b/>
          <w:color w:val="173C49"/>
          <w:sz w:val="18"/>
        </w:rPr>
        <w:t>ВАЖНАЯ ИНФОРМАЦИЯ ПЕРЕД НАЧАЛОМ</w:t>
      </w: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4968"/>
        <w:gridCol w:w="4968"/>
      </w:tblGrid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1  </w:t>
            </w:r>
            <w:r>
              <w:rPr>
                <w:rFonts w:ascii="Arial" w:hAnsi="Arial"/>
                <w:b/>
                <w:color w:val="173C49"/>
                <w:sz w:val="15"/>
              </w:rPr>
              <w:t>Материалы предназначены для одного покупателя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файлы только для личной подготовки. Не передавайте их третьим лицам, не публикуйте, не размещайте в открытом доступе и не перепродавайте полностью или частично.</w:t>
            </w:r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2  </w:t>
            </w:r>
            <w:r>
              <w:rPr>
                <w:rFonts w:ascii="Arial" w:hAnsi="Arial"/>
                <w:b/>
                <w:color w:val="173C49"/>
                <w:sz w:val="15"/>
              </w:rPr>
              <w:t>Источник материалов - ФМЗА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Вопросы и ситуационные задачи получены только из опубликованных материалов Методического центра аккредитации специалистов.</w:t>
            </w:r>
            <w:r>
              <w:br/>
            </w:r>
            <w:hyperlink r:id="rId10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Официальный сайт fmza.ru  ›</w:t>
              </w:r>
            </w:hyperlink>
          </w:p>
        </w:tc>
      </w:tr>
      <w:tr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3  </w:t>
            </w:r>
            <w:r>
              <w:rPr>
                <w:rFonts w:ascii="Arial" w:hAnsi="Arial"/>
                <w:b/>
                <w:color w:val="173C49"/>
                <w:sz w:val="15"/>
              </w:rPr>
              <w:t>Ответы можно проверить самостоятельно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Используйте комплект при прохождении репетиционного экзамена и убедитесь, что выбранные ответы совпадают с результатом официальной системы.</w:t>
            </w:r>
            <w:r>
              <w:br/>
            </w:r>
            <w:hyperlink r:id="rId11">
              <w:r>
                <w:rPr>
                  <w:rFonts w:ascii="Arial" w:hAnsi="Arial"/>
                  <w:color w:val="A84F27"/>
                  <w:sz w:val="13"/>
                  <w:b/>
                  <w:u w:val="none"/>
                </w:rPr>
                <w:t>Открыть репетиционный экзамен  ›</w:t>
              </w:r>
            </w:hyperlink>
          </w:p>
        </w:tc>
        <w:tc>
          <w:tcPr>
            <w:tcW w:type="dxa" w:w="4968"/>
            <w:shd w:fill="FFFFFF"/>
            <w:tcBorders>
              <w:top w:val="single" w:sz="5" w:color="D9E2E4"/>
              <w:start w:val="single" w:sz="5" w:color="D9E2E4"/>
              <w:bottom w:val="single" w:sz="5" w:color="D9E2E4"/>
              <w:end w:val="single" w:sz="5" w:color="D9E2E4"/>
              <w:insideH w:val="single" w:sz="5" w:color="D9E2E4"/>
              <w:insideV w:val="single" w:sz="5" w:color="D9E2E4"/>
            </w:tcBorders>
            <w:tcMar>
              <w:top w:w="95" w:type="dxa"/>
              <w:start w:w="130" w:type="dxa"/>
              <w:bottom w:w="90" w:type="dxa"/>
              <w:end w:w="13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D98152"/>
                <w:sz w:val="16"/>
              </w:rPr>
              <w:t xml:space="preserve">4  </w:t>
            </w:r>
            <w:r>
              <w:rPr>
                <w:rFonts w:ascii="Arial" w:hAnsi="Arial"/>
                <w:b/>
                <w:color w:val="173C49"/>
                <w:sz w:val="15"/>
              </w:rPr>
              <w:t>Состав материалов может обновляться</w:t>
            </w:r>
          </w:p>
          <w:p>
            <w:pPr>
              <w:spacing w:after="0"/>
            </w:pPr>
            <w:r>
              <w:rPr>
                <w:rFonts w:ascii="Arial" w:hAnsi="Arial"/>
                <w:b w:val="0"/>
                <w:color w:val="5B7180"/>
                <w:sz w:val="13"/>
              </w:rPr>
              <w:t>ФМЗА может изменять формулировки, порядок и состав заданий. Перед подготовкой используйте актуальную версию комплекта и сверяйтесь с официальным источником.</w:t>
            </w:r>
          </w:p>
        </w:tc>
      </w:tr>
    </w:tbl>
    <w:tbl>
      <w:tblPr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c>
          <w:tcPr>
            <w:tcW w:type="dxa" w:w="10120"/>
            <w:shd w:fill="FFF1E8"/>
            <w:tcMar>
              <w:top w:w="80" w:type="dxa"/>
              <w:start w:w="150" w:type="dxa"/>
              <w:bottom w:w="80" w:type="dxa"/>
              <w:end w:w="150" w:type="dxa"/>
            </w:tcMar>
          </w:tcPr>
          <w:p>
            <w:pPr>
              <w:spacing w:after="0"/>
            </w:pPr>
            <w:r>
              <w:rPr>
                <w:rFonts w:ascii="Arial" w:hAnsi="Arial"/>
                <w:b/>
                <w:color w:val="7B513F"/>
                <w:sz w:val="13"/>
              </w:rPr>
              <w:t xml:space="preserve">Важно: </w:t>
            </w:r>
            <w:r>
              <w:rPr>
                <w:rFonts w:ascii="Arial" w:hAnsi="Arial"/>
                <w:b w:val="0"/>
                <w:color w:val="7B513F"/>
                <w:sz w:val="13"/>
              </w:rPr>
              <w:t>MedikCase систематизирует материалы ФМЗА для самостоятельной подготовки, не изменяя смысл вопросов и ответов. Актуальность комплекта можно проверить в официальном репетиционном экзамене.</w:t>
            </w:r>
          </w:p>
        </w:tc>
      </w:tr>
    </w:tbl>
    <w:p>
      <w:pPr>
        <w:spacing w:after="40"/>
      </w:pPr>
    </w:p>
    <w:tbl>
      <w:tblPr>
        <w:tblW w:type="auto" w:w="0"/>
        <w:jc w:val="center"/>
        <w:tblLayout w:type="fixed"/>
        <w:tblLook w:firstColumn="1" w:firstRow="1" w:lastColumn="0" w:lastRow="0" w:noHBand="0" w:noVBand="1" w:val="04A0"/>
      </w:tblPr>
      <w:tblGrid>
        <w:gridCol w:w="6408"/>
        <w:gridCol w:w="3528"/>
      </w:tblGrid>
      <w:tr>
        <w:tc>
          <w:tcPr>
            <w:tcW w:type="dxa" w:w="6408"/>
            <w:shd w:fill="173C49"/>
            <w:tcMar>
              <w:top w:w="120" w:type="dxa"/>
              <w:start w:w="180" w:type="dxa"/>
              <w:bottom w:w="100" w:type="dxa"/>
              <w:end w:w="180" w:type="dxa"/>
            </w:tcMar>
          </w:tcPr>
          <w:p>
            <w:pPr>
              <w:spacing w:after="40"/>
            </w:pPr>
            <w:r>
              <w:rPr>
                <w:rFonts w:ascii="Arial" w:hAnsi="Arial"/>
                <w:b/>
                <w:color w:val="FFFFFF"/>
                <w:sz w:val="18"/>
              </w:rPr>
              <w:t>Сайт, обновления и поддержка</w:t>
            </w:r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2">
              <w:r>
                <w:rPr>
                  <w:rFonts w:ascii="Arial" w:hAnsi="Arial"/>
                  <w:color w:val="F7F2E9"/>
                  <w:sz w:val="14"/>
                  <w:u w:val="none"/>
                </w:rPr>
                <w:t>medikcase.ru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3">
              <w:r>
                <w:rPr>
                  <w:rFonts w:ascii="Arial" w:hAnsi="Arial"/>
                  <w:color w:val="F7F2E9"/>
                  <w:sz w:val="14"/>
                  <w:u w:val="none"/>
                </w:rPr>
                <w:t>Telegram: @medikcase</w:t>
              </w:r>
            </w:hyperlink>
          </w:p>
          <w:p>
            <w:pPr>
              <w:spacing w:after="0"/>
            </w:pPr>
            <w:r>
              <w:rPr>
                <w:rFonts w:ascii="Arial" w:hAnsi="Arial"/>
                <w:b/>
                <w:color w:val="E7A57E"/>
                <w:sz w:val="16"/>
              </w:rPr>
              <w:t xml:space="preserve">•  </w:t>
            </w:r>
            <w:hyperlink r:id="rId14">
              <w:r>
                <w:rPr>
                  <w:rFonts w:ascii="Arial" w:hAnsi="Arial"/>
                  <w:color w:val="F7F2E9"/>
                  <w:sz w:val="14"/>
                  <w:u w:val="none"/>
                </w:rPr>
                <w:t>support@medikcase.ru</w:t>
              </w:r>
            </w:hyperlink>
          </w:p>
        </w:tc>
        <w:tc>
          <w:tcPr>
            <w:tcW w:type="dxa" w:w="3528"/>
            <w:shd w:fill="173C49"/>
            <w:tcMar>
              <w:top w:w="100" w:type="dxa"/>
              <w:start w:w="60" w:type="dxa"/>
              <w:bottom w:w="80" w:type="dxa"/>
              <w:end w:w="220" w:type="dxa"/>
            </w:tcMar>
          </w:tcPr>
          <w:p>
            <w:pPr>
              <w:spacing w:before="0" w:after="0" w:line="20" w:lineRule="exact"/>
            </w:pPr>
          </w:p>
          <w:tbl>
            <w:tblPr>
              <w:tblW w:type="auto" w:w="0"/>
              <w:jc w:val="left"/>
              <w:tblLayout w:type="fixed"/>
              <w:tblLook w:firstColumn="1" w:firstRow="1" w:lastColumn="0" w:lastRow="0" w:noHBand="0" w:noVBand="1" w:val="04A0"/>
              <w:tblBorders>
                <w:top w:val="nil"/>
                <w:left w:val="nil"/>
                <w:bottom w:val="nil"/>
                <w:right w:val="nil"/>
                <w:insideH w:val="nil"/>
                <w:insideV w:val="nil"/>
              </w:tblBorders>
            </w:tblPr>
            <w:tblGrid>
              <w:gridCol w:w="1181"/>
              <w:gridCol w:w="1181"/>
            </w:tblGrid>
            <w:tr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2" name="Picture 2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site-qr.png"/>
                                <pic:cNvPicPr/>
                              </pic:nvPicPr>
                              <pic:blipFill>
                                <a:blip r:embed="rId15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Сайт</w:t>
                  </w:r>
                </w:p>
              </w:tc>
              <w:tc>
                <w:tcPr>
                  <w:tcW w:type="dxa" w:w="1181"/>
                  <w:vAlign w:val="center"/>
                  <w:shd w:fill="173C49"/>
                  <w:tcMar>
                    <w:top w:w="0" w:type="dxa"/>
                    <w:start w:w="20" w:type="dxa"/>
                    <w:bottom w:w="0" w:type="dxa"/>
                    <w:end w:w="20" w:type="dxa"/>
                  </w:tcMar>
                </w:tcPr>
                <w:p>
                  <w:pPr>
                    <w:spacing w:after="0"/>
                    <w:jc w:val="center"/>
                  </w:pPr>
                  <w:r>
                    <w:drawing>
                      <wp:inline xmlns:a="http://schemas.openxmlformats.org/drawingml/2006/main" xmlns:pic="http://schemas.openxmlformats.org/drawingml/2006/picture">
                        <wp:extent cx="530352" cy="530352"/>
                        <wp:docPr id="3" name="Picture 3"/>
                        <wp:cNvGraphicFramePr>
                          <a:graphicFrameLocks noChangeAspect="1"/>
                        </wp:cNvGraphicFramePr>
                        <a:graphic>
                          <a:graphicData uri="http://schemas.openxmlformats.org/drawingml/2006/picture">
                            <pic:pic>
                              <pic:nvPicPr>
                                <pic:cNvPr id="0" name="telegram-qr.png"/>
                                <pic:cNvPicPr/>
                              </pic:nvPicPr>
                              <pic:blipFill>
                                <a:blip r:embed="rId1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530352" cy="530352"/>
                                </a:xfrm>
                                <a:prstGeom prst="rect"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>
                  <w:pPr>
                    <w:spacing w:after="0"/>
                    <w:jc w:val="center"/>
                  </w:pPr>
                  <w:r>
                    <w:rPr>
                      <w:rFonts w:ascii="Arial" w:hAnsi="Arial"/>
                      <w:b w:val="0"/>
                      <w:color w:val="FFFFFF"/>
                      <w:sz w:val="11"/>
                    </w:rPr>
                    <w:t>Telegram</w:t>
                  </w:r>
                </w:p>
              </w:tc>
            </w:tr>
          </w:tbl>
          <w:p/>
        </w:tc>
      </w:tr>
    </w:tbl>
    <w:p>
      <w:r>
        <w:br w:type="page"/>
      </w:r>
    </w:p>
    <w:p>
      <w:pPr>
        <w:pStyle w:val="Heading1"/>
        <w:spacing w:after="160"/>
      </w:pPr>
      <w:r>
        <w:t>Содержание</w:t>
      </w:r>
    </w:p>
    <w:p>
      <w:pPr>
        <w:spacing w:after="80"/>
      </w:pPr>
      <w:hyperlink w:anchor="case_0001" w:history="1">
        <w:r>
          <w:rPr>
            <w:color w:val="164A57"/>
            <w:u w:val="single"/>
          </w:rPr>
          <w:t>Ситуационная задача 0001</w:t>
        </w:r>
      </w:hyperlink>
    </w:p>
    <w:p>
      <w:pPr>
        <w:spacing w:after="80"/>
      </w:pPr>
      <w:hyperlink w:anchor="case_0002" w:history="1">
        <w:r>
          <w:rPr>
            <w:color w:val="164A57"/>
            <w:u w:val="single"/>
          </w:rPr>
          <w:t>Ситуационная задача 0002</w:t>
        </w:r>
      </w:hyperlink>
    </w:p>
    <w:p>
      <w:r>
        <w:br w:type="page"/>
      </w:r>
    </w:p>
    <w:p>
      <w:pPr>
        <w:pStyle w:val="Heading1"/>
      </w:pPr>
      <w:bookmarkStart w:id="4" w:name="case_0001"/>
      <w:r>
        <w:t>Ситуационная задача 0001</w:t>
      </w:r>
      <w:bookmarkEnd w:id="4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Пластическая хирургия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Женщина 29 лет на первичном приеме у пластического хирурга.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неудовлетворительную форму и провисание, большой объём и асимметрию молочных желез, боли в грудном отделе позвоночника, перетяжки от лямок бюстгальтера, повышенную потливость в области подгрудных складок, эстетический дискомфорт.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Молочные железы начали постепенно увеличиваться с начала периода пубертата, формировались больших размеров, однако, это не беспокоило пациентку, поскольку по материнской линии в семье у всех женщин наблюдались молочные железы больших размеров.</w:t>
      </w:r>
    </w:p>
    <w:p>
      <w:pPr>
        <w:spacing w:after="58"/>
      </w:pPr>
      <w:r>
        <w:rPr>
          <w:b w:val="0"/>
          <w:i w:val="0"/>
        </w:rPr>
        <w:t>Во время беременности отметила резкое увеличение молочных желез. К концу беременности в 2012 г. железы еще больше увеличились и опустились до уровня пупка. Родоразрешение кесаревым сечением. После родов со слов пациентки, молочные железы железы достигли уровня паха, имела место выраженная отечность нижних отделов желез с периодической мацерацией кожного покрова. В связи с выраженными сложностями при сцеживании молока, возник тотальный лактостаз с риском развития некрозов молочных желез. В связи с этим было принято решение о медикаментозном подавлении лактации. Назначен препарат Достинекс, лактация подавлена в течение недели. Далее в течение 2—3 мес. молочные железы несколько уменьшились в объеме, но кожные покровы не сократились.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Росла и развивалась нормально</w:t>
      </w:r>
    </w:p>
    <w:p>
      <w:pPr>
        <w:spacing w:after="58"/>
      </w:pPr>
      <w:r>
        <w:rPr>
          <w:b w:val="0"/>
          <w:i w:val="0"/>
        </w:rPr>
        <w:t>В анамнезе:</w:t>
      </w:r>
    </w:p>
    <w:p>
      <w:pPr>
        <w:spacing w:after="58"/>
      </w:pPr>
      <w:r>
        <w:rPr>
          <w:b w:val="0"/>
          <w:i w:val="0"/>
        </w:rPr>
        <w:t>* детские и респираторные инфекции;</w:t>
      </w:r>
    </w:p>
    <w:p>
      <w:pPr>
        <w:spacing w:after="58"/>
      </w:pPr>
      <w:r>
        <w:rPr>
          <w:b w:val="0"/>
          <w:i w:val="0"/>
        </w:rPr>
        <w:t>* 2002 и 2005 гг. — прерывание беременности;</w:t>
      </w:r>
    </w:p>
    <w:p>
      <w:pPr>
        <w:spacing w:after="58"/>
      </w:pPr>
      <w:r>
        <w:rPr>
          <w:b w:val="0"/>
          <w:i w:val="0"/>
        </w:rPr>
        <w:t>* 2002 г. — удаление липомы правого плеча;</w:t>
      </w:r>
    </w:p>
    <w:p>
      <w:pPr>
        <w:spacing w:after="58"/>
      </w:pPr>
      <w:r>
        <w:rPr>
          <w:b w:val="0"/>
          <w:i w:val="0"/>
        </w:rPr>
        <w:t>* наследственность не отягощена;</w:t>
      </w:r>
    </w:p>
    <w:p>
      <w:pPr>
        <w:spacing w:after="58"/>
      </w:pPr>
      <w:r>
        <w:rPr>
          <w:b w:val="0"/>
          <w:i w:val="0"/>
        </w:rPr>
        <w:t>* отмечает большие размеры молочных желез у бабушки по материнской линии;</w:t>
      </w:r>
    </w:p>
    <w:p>
      <w:pPr>
        <w:spacing w:after="58"/>
      </w:pPr>
      <w:r>
        <w:rPr>
          <w:b w:val="0"/>
          <w:i w:val="0"/>
        </w:rPr>
        <w:t>* онкологический семейный анамнез по материнской линии по раку молочных желез отрицает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При поступлении рост 170 см, масса тела 64 кг, ИМТ —20,1 кг/м</w:t>
      </w:r>
      <w:r>
        <w:rPr>
          <w:b w:val="0"/>
          <w:i w:val="0"/>
          <w:vertAlign w:val="superscript"/>
        </w:rPr>
        <w:t>2</w:t>
      </w:r>
      <w:r>
        <w:rPr>
          <w:b w:val="0"/>
          <w:i w:val="0"/>
        </w:rPr>
        <w:t>, дыхательная, сердечно-сосудистая системы, органы пищеварения без особенностей. Гемодинамика стабильна. Психо-эмоционально - стабильна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Необходимыми для постановки диагноза клиническими и лабораторными методами обследования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определение генов BRCA-2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5" name="Picture 5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определение гормонального статуса пациента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6" name="Picture 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осмотр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определение генов BRCA-1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7" name="Picture 7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пальпация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6.</w:t>
      </w:r>
      <w:r>
        <w:tab/>
      </w:r>
      <w:r>
        <w:rPr>
          <w:b w:val="0"/>
          <w:i w:val="0"/>
        </w:rPr>
        <w:t>онкомаркеры СЕА, СА 19-9, СА 125, СА 15-3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2 - определение гормонального статуса пациента</w:t>
      </w:r>
      <w:r>
        <w:br/>
      </w:r>
      <w:r>
        <w:rPr>
          <w:b/>
          <w:i w:val="0"/>
        </w:rPr>
        <w:t>3 - осмотр</w:t>
      </w:r>
      <w:r>
        <w:br/>
      </w:r>
      <w:r>
        <w:rPr>
          <w:b/>
          <w:i w:val="0"/>
        </w:rPr>
        <w:t>5 - пальпация</w:t>
      </w:r>
    </w:p>
    <w:p>
      <w:pPr>
        <w:spacing w:after="58"/>
      </w:pPr>
      <w:r>
        <w:rPr>
          <w:b w:val="0"/>
          <w:i w:val="0"/>
        </w:rPr>
        <w:t>_Гусейнов А.З., Истомин Д.А., Гусейнов Т.А. Основы маммологии: монография. Санкт-Петербург–Тула: Издательство ТулГУ, 2014, 258 с. (с.80)_</w:t>
      </w:r>
    </w:p>
    <w:p>
      <w:pPr>
        <w:spacing w:after="58"/>
      </w:pPr>
      <w:r>
        <w:rPr>
          <w:b w:val="0"/>
          <w:i w:val="0"/>
        </w:rPr>
        <w:t>Эстроген-гестагенные нарушения играют определяющую роль в регуляции морфологических и гистологических изменений в тканях МЖ. Наиболее важную роль в физиологии МЖ играет эстрадиол. Он отвечает за большинство морфологических изменений, обусловливающих разницу тканей МЖ мужчины и женщины, и воздействует на клетки МЖ независимо от пола и возраста. Его концентрация в соединительной ткани МЖ в 2–20 раз выше, чем в плазме крови. Эстрадиол стимулирует дифференцировку и развитие эпителия протоков МЖ, усиливает синтез ДНК и митотическую активность эпителия. При высоких концентрациях эстрадиол индуцирует формирование ацинуса. В концентрациях, соответствующих фолликулярной фазе менструального цикла, эстрадиол способствует развитию МЖ. Он стимулирует васкуляризацию и степень гидратации соединительной ткани, поэтому нарушение гормонального баланса вызывает отек и гипертрофию интралобулярной соединительной ткани, содержащей большое количество фибробластов и коллагеновых волокон.</w:t>
      </w:r>
    </w:p>
    <w:p>
      <w:pPr>
        <w:spacing w:after="58"/>
      </w:pPr>
      <w:r>
        <w:rPr>
          <w:b w:val="0"/>
          <w:i w:val="0"/>
        </w:rPr>
        <w:t>_Методические рекомендации по профилактике рака молочной железы. ФГБУ «НАЦИОНАЛЬНЫЙ МЕДИЦИНСКИЙИССЛЕДОВАТЕЛЬСКИЙ ЦЕНТР АКУШЕРСТВА, ГИНЕКОЛОГИИИ ПЕРИНАТОЛОГИИ ИМЕНИ АКАДЕМИКА В.И. КУЛАКОВА»МИНИСТЕРСТВА ЗДРАВООХРАНЕНИЯ РФ_</w:t>
      </w:r>
    </w:p>
    <w:p>
      <w:pPr>
        <w:spacing w:after="58"/>
      </w:pPr>
      <w:r>
        <w:rPr>
          <w:b w:val="0"/>
          <w:i w:val="0"/>
        </w:rPr>
        <w:t>_Институт онкогинекологии и маммологии_</w:t>
      </w:r>
    </w:p>
    <w:p>
      <w:pPr>
        <w:spacing w:after="58"/>
      </w:pPr>
      <w:r>
        <w:rPr>
          <w:b w:val="0"/>
          <w:i w:val="0"/>
        </w:rPr>
        <w:t>_Общероссийская общественная организация «Российское общество специалистов по профилактике и лечению опухолей репродуктивной системы», 2018 год, стр 11_</w:t>
      </w:r>
    </w:p>
    <w:p>
      <w:pPr>
        <w:spacing w:after="58"/>
      </w:pPr>
      <w:r>
        <w:rPr>
          <w:b w:val="0"/>
          <w:i w:val="0"/>
        </w:rPr>
        <w:t>Лабораторные методы исследования</w:t>
      </w:r>
    </w:p>
    <w:p>
      <w:pPr>
        <w:spacing w:after="58"/>
      </w:pPr>
      <w:r>
        <w:rPr>
          <w:b w:val="0"/>
          <w:i w:val="0"/>
        </w:rPr>
        <w:t>Гормональные исследования (пролактин, эстрадиол, ФСГ, ЛГ, прогестерон, ТТГ, ТЗ, Т4). Определение гормонального статуса является обязательным компонентом в комплексном обследовании женщин с заболеваниями молочных желез с целью правильного выбора лечебной тактики.</w:t>
      </w:r>
    </w:p>
    <w:p>
      <w:pPr>
        <w:spacing w:after="58"/>
      </w:pPr>
      <w:r>
        <w:rPr>
          <w:b w:val="0"/>
          <w:i w:val="0"/>
        </w:rPr>
        <w:t>После сбора жалоб и анамнеза необходимо провести осмотр и объективную оценку состояния и положения молочных желез, симметрию</w:t>
      </w:r>
    </w:p>
    <w:p>
      <w:pPr>
        <w:spacing w:after="58"/>
      </w:pPr>
      <w:r>
        <w:rPr>
          <w:b w:val="0"/>
          <w:i w:val="0"/>
        </w:rPr>
        <w:t>_Соколов И.С., Пшениснов К.П. «Протоколы подготовки и обеспечения основных эстетических операций». Избранные вопросы пластической хирургии. – Издательство «Аверс Плюс» г. Ярославль. – Издание под патронажем РНИМУ им. Н.И.Пирогова (Москва) и Ярославского государственного медицинского университета. - том 2 №2, 2018. – 40 стр_</w:t>
      </w:r>
    </w:p>
    <w:p>
      <w:pPr>
        <w:spacing w:after="58"/>
      </w:pPr>
      <w:r>
        <w:rPr>
          <w:b w:val="0"/>
          <w:i w:val="0"/>
        </w:rPr>
        <w:t>* Операции в области молочных желез. Увеличение молочных желез, редукция, подтяжка. Первичная консультация – стр 20.</w:t>
      </w:r>
    </w:p>
    <w:p>
      <w:pPr>
        <w:spacing w:after="58"/>
      </w:pPr>
      <w:r>
        <w:rPr>
          <w:b w:val="0"/>
          <w:i w:val="0"/>
        </w:rPr>
        <w:t>* УЗИ молочной железы (Если имеются изменения – дополнительно консультация онколога-маммолога)</w:t>
      </w:r>
    </w:p>
    <w:p>
      <w:pPr>
        <w:spacing w:after="58"/>
      </w:pPr>
      <w:r>
        <w:rPr>
          <w:b w:val="0"/>
          <w:i w:val="0"/>
        </w:rPr>
        <w:t>* Сбор анамнеза (наличие родов и кормление грудью, изменение формы молочной железы с течением времени)</w:t>
      </w:r>
    </w:p>
    <w:p>
      <w:pPr>
        <w:spacing w:after="58"/>
      </w:pPr>
      <w:r>
        <w:rPr>
          <w:b w:val="0"/>
          <w:i w:val="0"/>
        </w:rPr>
        <w:t>* Осмотр, определение параметров, плотности и эластичности тканей, симметрии и деформации, степени птоза</w:t>
      </w:r>
    </w:p>
    <w:p>
      <w:pPr>
        <w:spacing w:after="58"/>
      </w:pPr>
      <w:r>
        <w:rPr>
          <w:b w:val="0"/>
          <w:i w:val="0"/>
        </w:rPr>
        <w:t>Пальпация позволяет оценить состояние кожных покровов, тургор, эластичность, консистенцию молочных желез, состояние лифматических коллекторов</w:t>
      </w:r>
    </w:p>
    <w:p>
      <w:pPr>
        <w:spacing w:after="58"/>
      </w:pPr>
      <w:r>
        <w:rPr>
          <w:b w:val="0"/>
          <w:i w:val="0"/>
        </w:rPr>
        <w:t>_Соколов И.С., Пшениснов К.П. «Протоколы подготовки и обеспечения основных эстетических операций». Избранные вопросы пластической хирургии. – Издательство «Аверс Плюс» г. Ярославль. – Издание под патронажем РНИМУ им. Н.И.Пирогова (Москва) и Ярославского государственного медицинского университета. - том 2 №2, 2018. – 40 стр._</w:t>
      </w:r>
    </w:p>
    <w:p>
      <w:pPr>
        <w:spacing w:after="58"/>
      </w:pPr>
      <w:r>
        <w:rPr>
          <w:b w:val="0"/>
          <w:i w:val="0"/>
        </w:rPr>
        <w:t>Операции в области молочных желез. Увеличение молочных желез, редукция, подтяжка. Первичная консультация – стр 20.</w:t>
      </w:r>
    </w:p>
    <w:p>
      <w:pPr>
        <w:spacing w:after="58"/>
      </w:pPr>
      <w:r>
        <w:rPr>
          <w:b w:val="0"/>
          <w:i w:val="0"/>
        </w:rPr>
        <w:t>* УЗИ молочной железы (Если имеются изменения – дополнительно консультация онколога-маммолога)</w:t>
      </w:r>
    </w:p>
    <w:p>
      <w:pPr>
        <w:spacing w:after="58"/>
      </w:pPr>
      <w:r>
        <w:rPr>
          <w:b w:val="0"/>
          <w:i w:val="0"/>
        </w:rPr>
        <w:t>* Сбор анамнеза (наличие родов и кормление грудью, изменение формы молочной железы с течением времени)</w:t>
      </w:r>
    </w:p>
    <w:p>
      <w:pPr>
        <w:spacing w:after="58"/>
      </w:pPr>
      <w:r>
        <w:rPr>
          <w:b w:val="0"/>
          <w:i w:val="0"/>
        </w:rPr>
        <w:t>* Осмотр, определение параметров, плотности и эластичности тканей, симметрии и деформации, степени птоза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Необходимыми для постановки диагноза и подготовки к вмешательству инструментальными методами обследования являются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радиотермометрия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дуктография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МРТ молочных желез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термометрия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8" name="Picture 8" title="Правильный вариант 5" descr="Правильный ответ: вариант 5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5.png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ультразвуковое исследование молочных желез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9" name="Picture 9" title="Правильный вариант 6" descr="Правильный ответ: вариант 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6.png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МРТ головного мозга</w:t>
      </w:r>
    </w:p>
    <w:p>
      <w:pPr>
        <w:ind w:left="288"/>
      </w:pPr>
      <w:r>
        <w:rPr>
          <w:b/>
          <w:color w:val="173C49"/>
        </w:rPr>
        <w:t>Правильные ответы:</w:t>
      </w:r>
      <w:r>
        <w:br/>
      </w:r>
      <w:r>
        <w:rPr>
          <w:b/>
          <w:i w:val="0"/>
        </w:rPr>
        <w:t>5 - ультразвуковое исследование молочных желез</w:t>
      </w:r>
      <w:r>
        <w:br/>
      </w:r>
      <w:r>
        <w:rPr>
          <w:b/>
          <w:i w:val="0"/>
        </w:rPr>
        <w:t>6 - МРТ головного мозга</w:t>
      </w:r>
    </w:p>
    <w:p>
      <w:pPr>
        <w:spacing w:after="58"/>
      </w:pPr>
      <w:r>
        <w:rPr>
          <w:b w:val="0"/>
          <w:i w:val="0"/>
        </w:rPr>
        <w:t>_Ультразвуковое исследование молочных желез. Шаг за шагом. От простого к сложному / А.Н.Сенча – М.: МЕДпресс-ин форм, 2018. – 184 с. : ил. (стр.15)_</w:t>
      </w:r>
    </w:p>
    <w:p>
      <w:pPr>
        <w:spacing w:after="58"/>
      </w:pPr>
      <w:r>
        <w:rPr>
          <w:b w:val="0"/>
          <w:i w:val="0"/>
        </w:rPr>
        <w:t>Этапная хирургическая коррекция гигантомастии. Методические рекомендации</w:t>
      </w:r>
    </w:p>
    <w:p>
      <w:pPr>
        <w:spacing w:after="58"/>
      </w:pPr>
      <w:r>
        <w:rPr>
          <w:b w:val="0"/>
          <w:i w:val="0"/>
        </w:rPr>
        <w:t>_К.м.н. а.а. Копылов, д.м.н. Б.ш. Гогия, д.б.н. И.а. Чекмарева, д.м.н. О.В. Паклина, к.м.н. Р.Р. Аляутдинов, к.м.н. Н.О. Султанова, к.м.н. Т.В. Токарева, к.м.н. А.Н. Лебедева, к.м.н. И.П. Колганова ФГБУ «Институт хирургии им. а.В. Вишневского» (дир. — акад. РаН а.ш. Ревишвили) Минздрава РФ, Москва, Россия (с. 77)_</w:t>
      </w:r>
    </w:p>
    <w:p>
      <w:pPr>
        <w:spacing w:after="58"/>
      </w:pPr>
      <w:r>
        <w:rPr>
          <w:b w:val="0"/>
          <w:i w:val="0"/>
        </w:rPr>
        <w:t>В процессе выполнения УЗИ МЖ оцениваются:</w:t>
      </w:r>
    </w:p>
    <w:p>
      <w:pPr>
        <w:spacing w:after="58"/>
      </w:pPr>
      <w:r>
        <w:rPr>
          <w:b w:val="0"/>
          <w:i w:val="0"/>
        </w:rPr>
        <w:t>1. МЖ в целом:</w:t>
      </w:r>
    </w:p>
    <w:p>
      <w:pPr>
        <w:spacing w:after="58"/>
      </w:pPr>
      <w:r>
        <w:rPr>
          <w:b w:val="0"/>
          <w:i w:val="0"/>
        </w:rPr>
        <w:t>• расположение, симметричность;</w:t>
      </w:r>
    </w:p>
    <w:p>
      <w:pPr>
        <w:spacing w:after="58"/>
      </w:pPr>
      <w:r>
        <w:rPr>
          <w:b w:val="0"/>
          <w:i w:val="0"/>
        </w:rPr>
        <w:t>• эхогенность;</w:t>
      </w:r>
    </w:p>
    <w:p>
      <w:pPr>
        <w:spacing w:after="58"/>
      </w:pPr>
      <w:r>
        <w:rPr>
          <w:b w:val="0"/>
          <w:i w:val="0"/>
        </w:rPr>
        <w:t>• эхоструктура, соотношение жировой, железистой тканей; Для детализации истинной и ложной гипертрофии молочных желез.</w:t>
      </w:r>
    </w:p>
    <w:p>
      <w:pPr>
        <w:spacing w:after="58"/>
      </w:pPr>
      <w:r>
        <w:rPr>
          <w:b w:val="0"/>
          <w:i w:val="0"/>
        </w:rPr>
        <w:t>• состояние млечных протоков;</w:t>
      </w:r>
    </w:p>
    <w:p>
      <w:pPr>
        <w:spacing w:after="58"/>
      </w:pPr>
      <w:r>
        <w:rPr>
          <w:b w:val="0"/>
          <w:i w:val="0"/>
        </w:rPr>
        <w:t>• область соска и ареолы;</w:t>
      </w:r>
    </w:p>
    <w:p>
      <w:pPr>
        <w:spacing w:after="58"/>
      </w:pPr>
      <w:r>
        <w:rPr>
          <w:b w:val="0"/>
          <w:i w:val="0"/>
        </w:rPr>
        <w:t>• кровеносные сосуды паренхимы (интенсивность, симметричность).</w:t>
      </w:r>
    </w:p>
    <w:p>
      <w:pPr>
        <w:spacing w:after="58"/>
      </w:pPr>
      <w:r>
        <w:rPr>
          <w:b w:val="0"/>
          <w:i w:val="0"/>
        </w:rPr>
        <w:t>2. Изменения в МЖ:</w:t>
      </w:r>
    </w:p>
    <w:p>
      <w:pPr>
        <w:spacing w:after="58"/>
      </w:pPr>
      <w:r>
        <w:rPr>
          <w:b w:val="0"/>
          <w:i w:val="0"/>
        </w:rPr>
        <w:t>• характер изменений (диффузные, очаговые);</w:t>
      </w:r>
    </w:p>
    <w:p>
      <w:pPr>
        <w:spacing w:after="58"/>
      </w:pPr>
      <w:r>
        <w:rPr>
          <w:b w:val="0"/>
          <w:i w:val="0"/>
        </w:rPr>
        <w:t>_Соколов И.С., Пшениснов К.П. «Протоколы подготовки и обеспечения основных эстетических операций». Избранные вопросы пластической хирургии. – Издательство «Аверс Плюс» г. Ярославль. – Издание под патронажем РНИМУ им. Н.И.Пирогова (Москва) и Ярославского государственного медицинского университета. - том 2 №2, 2018. – 40 стр._</w:t>
      </w:r>
    </w:p>
    <w:p>
      <w:pPr>
        <w:spacing w:after="58"/>
      </w:pPr>
      <w:r>
        <w:rPr>
          <w:b w:val="0"/>
          <w:i w:val="0"/>
        </w:rPr>
        <w:t>Операции в области молочных желез. Увеличение молочных желез, редукция, подтяжка. Первичная консультация – стр. 20.</w:t>
      </w:r>
    </w:p>
    <w:p>
      <w:pPr>
        <w:spacing w:after="58"/>
      </w:pPr>
      <w:r>
        <w:rPr>
          <w:b w:val="0"/>
          <w:i w:val="0"/>
        </w:rPr>
        <w:t>* УЗИ молочной железы (Если имеются изменения – дополнительно консультация онколога-маммолога)</w:t>
      </w:r>
    </w:p>
    <w:p>
      <w:pPr>
        <w:spacing w:after="58"/>
      </w:pPr>
      <w:r>
        <w:rPr>
          <w:b w:val="0"/>
          <w:i w:val="0"/>
        </w:rPr>
        <w:t>* Сбор анамнеза (наличие родов и кормление грудью, изменение формы молочной железы с течением времени)</w:t>
      </w:r>
    </w:p>
    <w:p>
      <w:pPr>
        <w:spacing w:after="58"/>
      </w:pPr>
      <w:r>
        <w:rPr>
          <w:b w:val="0"/>
          <w:i w:val="0"/>
        </w:rPr>
        <w:t>* Осмотр, определение параметров, плотности и эластичности тканей, симметрии и деформации, степени птоза</w:t>
      </w:r>
    </w:p>
    <w:p>
      <w:pPr>
        <w:spacing w:after="58"/>
      </w:pPr>
      <w:r>
        <w:rPr>
          <w:b w:val="0"/>
          <w:i w:val="0"/>
        </w:rPr>
        <w:t>_Федеральные клинические рекомендации по гиперпролактинемии: клиника, диагностика, дифференциальная диагностика и методы лечения. Российская ассоциация эндокринологов. ФГБУ Эндокринологический научный центр Минздрава России, 2015 год._</w:t>
      </w:r>
    </w:p>
    <w:p>
      <w:pPr>
        <w:spacing w:after="58"/>
      </w:pPr>
      <w:hyperlink r:id="rId23">
        <w:r>
          <w:rPr>
            <w:color w:val="173C49"/>
            <w:u w:val="single"/>
          </w:rPr>
          <w:t xml:space="preserve">Клинические рекомендации по гиперпролактинемии: клиника, диагностика, дифференциальная диагностика и методы лечения. Российская ассоциация эндокринологов, 2014</w:t>
        </w:r>
      </w:hyperlink>
    </w:p>
    <w:p>
      <w:pPr>
        <w:spacing w:after="58"/>
      </w:pPr>
      <w:r>
        <w:rPr>
          <w:b w:val="0"/>
          <w:i w:val="0"/>
        </w:rPr>
        <w:t>Визуализирующие методы в диагностике пролактином. Стр. 8</w:t>
      </w:r>
    </w:p>
    <w:p>
      <w:pPr>
        <w:spacing w:after="58"/>
      </w:pPr>
      <w:r>
        <w:rPr>
          <w:b w:val="0"/>
          <w:i w:val="0"/>
        </w:rPr>
        <w:t>МРТ головного мозга является наиболее информативным методом в диагностике опухолей гипоталамо-гипофизарной области (уровень доказательности 1, класс рекомендаций А)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 xml:space="preserve">Ультразвуковое исследование молочных желез следует провести в сроки </w:t>
      </w:r>
      <w:r>
        <w:rPr>
          <w:b w:val="0"/>
          <w:i w:val="0"/>
        </w:rPr>
        <w:t>________</w:t>
      </w:r>
      <w:r>
        <w:rPr>
          <w:b w:val="0"/>
          <w:i w:val="0"/>
        </w:rPr>
        <w:t xml:space="preserve"> день менструального цикла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20-28 (30)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14-18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0" name="Picture 10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5-12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1-4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3 - 5-12</w:t>
      </w:r>
    </w:p>
    <w:p>
      <w:pPr>
        <w:spacing w:after="58"/>
      </w:pPr>
      <w:r>
        <w:rPr>
          <w:b w:val="0"/>
          <w:i w:val="0"/>
        </w:rPr>
        <w:t>_Методические рекомендации по профилактике рака молочной железы. ФГБУ «НАЦИОНАЛЬНЫЙ МЕДИЦИНСКИЙИССЛЕДОВАТЕЛЬСКИЙ ЦЕНТР АКУШЕРСТВА, ГИНЕКОЛОГИИИ ПЕРИНАТОЛОГИИ ИМЕНИ АКАДЕМИКА В.И. КУЛАКОВА»МИНИСТЕРСТВА ЗДРАВООХРАНЕНИЯ РФ_</w:t>
      </w:r>
    </w:p>
    <w:p>
      <w:pPr>
        <w:spacing w:after="58"/>
      </w:pPr>
      <w:r>
        <w:rPr>
          <w:b w:val="0"/>
          <w:i w:val="0"/>
        </w:rPr>
        <w:t>_Институт онкогинекологии и маммологии_</w:t>
      </w:r>
    </w:p>
    <w:p>
      <w:pPr>
        <w:spacing w:after="58"/>
      </w:pPr>
      <w:r>
        <w:rPr>
          <w:b w:val="0"/>
          <w:i w:val="0"/>
        </w:rPr>
        <w:t>_Общероссийская общественная организация «Российское общество специалистов по профилактике и лечению опухолей репродуктивной системы», 2018 год, стр 10_</w:t>
      </w:r>
    </w:p>
    <w:p>
      <w:pPr>
        <w:spacing w:after="58"/>
      </w:pPr>
      <w:r>
        <w:rPr>
          <w:b w:val="0"/>
          <w:i w:val="0"/>
        </w:rPr>
        <w:t>Лучевые методы диагностики.</w:t>
      </w:r>
    </w:p>
    <w:p>
      <w:pPr>
        <w:spacing w:after="58"/>
      </w:pPr>
      <w:r>
        <w:rPr>
          <w:b w:val="0"/>
          <w:i w:val="0"/>
        </w:rPr>
        <w:t>Ультразвуковое исследование молочных желез.</w:t>
      </w:r>
    </w:p>
    <w:p>
      <w:pPr>
        <w:spacing w:after="58"/>
      </w:pPr>
      <w:r>
        <w:rPr>
          <w:b w:val="0"/>
          <w:i w:val="0"/>
        </w:rPr>
        <w:t>Проводится на 5-12 день менструального цикла, дополняет и уточняет картину патологического процесса, полученного при других методах исследования. Для исследования отсутствуют возрастные ограничения и радиационная нагрузка.</w:t>
      </w:r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>Учитывая жалобы, анамнез и данные обследования, пациентке следует поставить диагноз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Тубулярная деформация молочных желез 1 типа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Тубулярная деформация молочных желез 2 типа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Постлактационная инволюция молочных желез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1" name="Picture 11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Гипертрофия молочных желез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Гипертрофия молочных желез</w:t>
      </w:r>
    </w:p>
    <w:p>
      <w:pPr>
        <w:spacing w:after="58"/>
      </w:pPr>
      <w:r>
        <w:rPr>
          <w:b w:val="0"/>
          <w:i w:val="0"/>
        </w:rPr>
        <w:t>Данный диагноз установлен на основании:</w:t>
      </w:r>
    </w:p>
    <w:p>
      <w:pPr>
        <w:spacing w:after="58"/>
      </w:pPr>
      <w:r>
        <w:rPr>
          <w:b w:val="0"/>
          <w:i w:val="0"/>
        </w:rPr>
        <w:t>Жалоб пациента – На неудовлетворительную форму и провисание, большой объём и асимметрию молочных желез, боли в грудном отделе позвоночника, перетяжки от лямок бюстгальтера, повышенную потливость в области подгрудных складок, эстетический дискомфорт.</w:t>
      </w:r>
    </w:p>
    <w:p>
      <w:pPr>
        <w:spacing w:after="58"/>
      </w:pPr>
      <w:r>
        <w:rPr>
          <w:b w:val="0"/>
          <w:i w:val="0"/>
        </w:rPr>
        <w:t>Анамнеза заболевания –</w:t>
      </w:r>
    </w:p>
    <w:p>
      <w:pPr>
        <w:spacing w:after="58"/>
      </w:pPr>
      <w:r>
        <w:rPr>
          <w:b w:val="0"/>
          <w:i w:val="0"/>
        </w:rPr>
        <w:t>* Молочные железы начали постепенно увеличиваться в пубертате, бурно стали увеличиваться во время беременности. К концу беременности в железы еще больше увеличились и опустились. В связи с бурным увеличением молочных желез после родоразрешения и сложностями со сцеживанием и грудным вскармливанием, выполнено медикаментозное подавление лактации. Далее в течение 2—3 мес. молочные железы несколько уменьшились в объеме, но кожные покровы не сократились.</w:t>
      </w:r>
    </w:p>
    <w:p>
      <w:pPr>
        <w:spacing w:after="58"/>
      </w:pPr>
      <w:r>
        <w:rPr>
          <w:b w:val="0"/>
          <w:i w:val="0"/>
        </w:rPr>
        <w:t>Клинического, лабораторного и инструментального обследования</w:t>
      </w:r>
    </w:p>
    <w:p>
      <w:pPr>
        <w:spacing w:after="58"/>
      </w:pPr>
      <w:r>
        <w:rPr>
          <w:b w:val="0"/>
          <w:i w:val="0"/>
        </w:rPr>
        <w:t>* параметры гипертрофиированных и птозированных молочных желез;</w:t>
      </w:r>
    </w:p>
    <w:p>
      <w:pPr>
        <w:spacing w:after="58"/>
      </w:pPr>
      <w:r>
        <w:rPr>
          <w:b w:val="0"/>
          <w:i w:val="0"/>
        </w:rPr>
        <w:t>* Строение молочной железы: смешанное с преобладанием жировой ткани. Протоки: соответствуют фазе менструального цикла, диффузные изменений нет, очаговые образований нет, млечные протоки (узи молочных желез): аксиллярные лимфоузлы не изменены. Эхокардиографическая картина соответствует фазе менструального цикла: УЗ-признаки жировой трансформации молочных желез</w:t>
      </w:r>
    </w:p>
    <w:p>
      <w:pPr>
        <w:spacing w:after="58"/>
      </w:pPr>
      <w:r>
        <w:rPr>
          <w:b w:val="0"/>
          <w:i w:val="0"/>
        </w:rPr>
        <w:t>* Гормональный статус пациента: в пределах нормы для обозначенного возраста;</w:t>
      </w:r>
    </w:p>
    <w:p>
      <w:pPr>
        <w:spacing w:after="58"/>
      </w:pPr>
      <w:r>
        <w:rPr>
          <w:b w:val="0"/>
          <w:i w:val="0"/>
        </w:rPr>
        <w:t>* Признаков аденомы гипофиза, влекущие за собой постоянный рост ткани молочной железы не выявлен;</w:t>
      </w:r>
    </w:p>
    <w:p>
      <w:pPr>
        <w:spacing w:after="58"/>
      </w:pPr>
      <w:r>
        <w:rPr>
          <w:b w:val="0"/>
          <w:i w:val="0"/>
        </w:rPr>
        <w:t>* Отсутствие данных за другие диагнозы;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При сборе фотодокументации перед операцией, помимо стандартных проекций, необходимо выполнить фотографирование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2" name="Picture 1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анфас и профиль с наклоном вперед, анфас с поднятыми руками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полупрофиль и профиль с поднятыми руками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анфас, полупрофиль и профиль в положении сидя и в положении руки на талии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анфас в положении лежа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анфас и профиль с наклоном вперед, анфас с поднятыми руками</w:t>
      </w:r>
    </w:p>
    <w:p>
      <w:pPr>
        <w:spacing w:after="58"/>
      </w:pPr>
      <w:r>
        <w:rPr>
          <w:b w:val="0"/>
          <w:i w:val="0"/>
        </w:rPr>
        <w:t>_Соколов И.С., Пшениснов К.П. «Протоколы подготовки и обеспечения основных эстетических операций». Избранные вопросы пластической хирургии. – Издательство «Аверс Плюс» г. Ярославль. – Издание под патронажем РНИМУ им. Н.И.Пирогова (Москва) и Ярославского государственного медицинского университета. - том 2 №2, 2018. – 40 стр_</w:t>
      </w:r>
    </w:p>
    <w:p>
      <w:pPr>
        <w:spacing w:after="58"/>
      </w:pPr>
      <w:r>
        <w:rPr>
          <w:b w:val="0"/>
          <w:i w:val="0"/>
        </w:rPr>
        <w:t>Операции в области молочных желез. Увеличение молочных желез, редукция, подтяжка. В день операции – стр. 21.</w:t>
      </w:r>
    </w:p>
    <w:p>
      <w:pPr>
        <w:spacing w:after="58"/>
      </w:pPr>
      <w:r>
        <w:rPr>
          <w:b w:val="0"/>
          <w:i w:val="0"/>
        </w:rPr>
        <w:t>* Фотографирование пациента в стандартных проекциях: две в профиль обычные и две с наклоном вперед с провисанием груди, две анфас с поднятыми и опущенными руками, а также с наклоном вперед с провисанием груди, две в ¾ от подбородка до пупка</w:t>
      </w:r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Оптимальным вариантом хирургической коррекции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3" name="Picture 1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редукционная маммопластика с транспортом САК на питающей ножке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липосакция молочных желез с иссечением избытка кожи по периметру ареолы (периареолярно)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периареолярная мастопексия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редукционная маммопластика по Тореку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редукционная маммопластика с транспортом САК на питающей ножке</w:t>
      </w:r>
    </w:p>
    <w:p>
      <w:pPr>
        <w:spacing w:after="58"/>
      </w:pPr>
      <w:r>
        <w:rPr>
          <w:b w:val="0"/>
          <w:i w:val="0"/>
        </w:rPr>
        <w:t>Учитывая возраст пациентки, необходимо попытаться сохранить для нее способность к лактации. Редукционная маммопластика по Торек с переносом сосково-ареолярного комплекса в виде свободного кожного трансплантата лишит пациентку этой возможности. Периареолярная мастопексия без редукции стромально-железистого компонента молочных желез при таком объеме не будет эффективна, а приведет к образованию широких рубцов и неудовлетворительной форме молочных желез. Липосакция не показана в данном случае.</w:t>
      </w:r>
    </w:p>
    <w:p>
      <w:pPr>
        <w:spacing w:after="58"/>
      </w:pPr>
      <w:r>
        <w:rPr>
          <w:b w:val="0"/>
          <w:i w:val="0"/>
        </w:rPr>
        <w:t>_Боровиков А.М.. «Птоз молочных желез». Избранные вопросы пластической хирургии. – Издательство «Аверс Плюс» г. Ярославль. – Издание под патронажем Ярославской государственной медицинской академии. - том 1 №12, 2005. – 72 стр._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 xml:space="preserve">Учитывая клиническую ситуацию, оптимальный для транспорта сосково-ареолярного комплекса является </w:t>
      </w:r>
      <w:r>
        <w:rPr>
          <w:b w:val="0"/>
          <w:i w:val="0"/>
        </w:rPr>
        <w:t>___________</w:t>
      </w:r>
      <w:r>
        <w:rPr>
          <w:b w:val="0"/>
          <w:i w:val="0"/>
        </w:rPr>
        <w:t xml:space="preserve"> питающая ножка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4" name="Picture 14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верхнее-медиальная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нижне-медиальная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верхняя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центральная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верхнее-медиальная</w:t>
      </w:r>
    </w:p>
    <w:p>
      <w:pPr>
        <w:spacing w:after="58"/>
      </w:pPr>
      <w:r>
        <w:rPr>
          <w:b w:val="0"/>
          <w:i w:val="0"/>
        </w:rPr>
        <w:t>_Боровиков А.М. «Птоз молочных желез». Избранные вопросы пластической хирургии. – Издательство «Аверс Плюс» г. Ярославль. – Издание под патронажем Ярославской государственной медицинской академии. - том 1 №12, 2005. – 72 стр._</w:t>
      </w:r>
    </w:p>
    <w:p>
      <w:pPr>
        <w:spacing w:after="58"/>
      </w:pPr>
      <w:r>
        <w:rPr>
          <w:b w:val="0"/>
          <w:i w:val="0"/>
        </w:rPr>
        <w:t>Глава 5. Варианты ножек сосково-ареолярного комплекса – стр. 27</w:t>
      </w:r>
    </w:p>
    <w:p>
      <w:pPr>
        <w:spacing w:after="58"/>
      </w:pPr>
      <w:r>
        <w:rPr>
          <w:b w:val="0"/>
          <w:i w:val="0"/>
        </w:rPr>
        <w:t>Рис. 19-21 показывают разнообразие ориентации ножки относительно САК – снизу, сверху, медиально, латерально или в сочетаниях.</w:t>
      </w:r>
    </w:p>
    <w:p>
      <w:pPr>
        <w:spacing w:after="58"/>
      </w:pPr>
      <w:r>
        <w:rPr>
          <w:b w:val="0"/>
          <w:i w:val="0"/>
        </w:rPr>
        <w:t>Но чем длиннее ножка, тем в большей степени лоскут нуждается в осевом кровоснабжении.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Раскрой при резекции кожного «чехла» и результирующий рубец в данном случае следует планировать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горизонтальный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периареолярный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циркумвертикальный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5" name="Picture 15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 виде инвертированной буквы Т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в виде инвертированной буквы Т</w:t>
      </w:r>
    </w:p>
    <w:p>
      <w:pPr>
        <w:spacing w:after="58"/>
      </w:pPr>
      <w:r>
        <w:rPr>
          <w:b w:val="0"/>
          <w:i w:val="0"/>
        </w:rPr>
        <w:t>После редукционной маммопластики с переносом САК послеоперационный шов называется инвертированным Т</w:t>
      </w:r>
    </w:p>
    <w:p>
      <w:pPr>
        <w:spacing w:after="58"/>
      </w:pPr>
      <w:r>
        <w:rPr>
          <w:b w:val="0"/>
          <w:i w:val="0"/>
        </w:rPr>
        <w:t>_Боровиков А.М.. «Птоз молочных желез». Избранные вопросы пластической хирургии. – Издательство «Аверс Плюс» г. Ярославль. – Издание под патронажем Ярославской государственной медицинской академии. - том 1 №12, 2005. – 72 стр._</w:t>
      </w:r>
    </w:p>
    <w:p>
      <w:pPr>
        <w:spacing w:after="58"/>
      </w:pPr>
      <w:r>
        <w:rPr>
          <w:b w:val="0"/>
          <w:i w:val="0"/>
        </w:rPr>
        <w:t>Глава 6. Варианты резекции кожного чехла при мастопексии – стр. 30-44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Главным условием для транспорта САК с надежной васкуляризацией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нижнее основание ножки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сохранение субдермально-паренхиматозных коллатералей в зоне САК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6" name="Picture 16" title="Правильный вариант 3" descr="Правильный ответ: вариант 3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3.png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толщина слоя подлежащих тканей в зоне САК не менее 2 см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отношение длины питающей ножки к ее ширине не более 1:2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3 - толщина слоя подлежащих тканей в зоне САК не менее 2 см</w:t>
      </w:r>
    </w:p>
    <w:p>
      <w:pPr>
        <w:spacing w:after="58"/>
      </w:pPr>
      <w:r>
        <w:rPr>
          <w:b w:val="0"/>
          <w:i w:val="0"/>
        </w:rPr>
        <w:t>Толщина слоя подлежащих тканей в зоне САК (сосково-ареолярный комплекс) должна быть не менее 2 см для сохранения достаточного кровообращения</w:t>
      </w:r>
    </w:p>
    <w:p>
      <w:pPr>
        <w:spacing w:after="58"/>
      </w:pPr>
      <w:r>
        <w:rPr>
          <w:b w:val="0"/>
          <w:i w:val="0"/>
        </w:rPr>
        <w:t>_Боровиков А.М.. «Птоз молочных желез». Избранные вопросы пластической хирургии. – Издательство «Аверс Плюс» г. Ярославль. – Издание под патронажем Ярославской государственной медицинской академии. - том 1 №12, 2005. – 72 стр._</w:t>
      </w:r>
    </w:p>
    <w:p>
      <w:pPr>
        <w:spacing w:after="58"/>
      </w:pPr>
      <w:r>
        <w:rPr>
          <w:b w:val="0"/>
          <w:i w:val="0"/>
        </w:rPr>
        <w:t>Глава 5. Варианты ножек сосково-ареолярного комплекса – стр 24-29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Наиболее вероятным местным осложнением для данного типа операций является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развитие фиброзно-кистозной мастопатии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7" name="Picture 1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ишемия сосково-ареолярного комплекса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лимфостаз верхних конечностей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рецидив гипертрофии молочных желез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ишемия сосково-ареолярного комплекса</w:t>
      </w:r>
    </w:p>
    <w:p>
      <w:pPr>
        <w:spacing w:after="58"/>
      </w:pPr>
      <w:r>
        <w:rPr>
          <w:b w:val="0"/>
          <w:i w:val="0"/>
        </w:rPr>
        <w:t>_Соколов И.С., Пшениснов К.П. «Протоколы подготовки и обеспечения основных эстетических операций». Избранные вопросы пластической хирургии. – Издательство «Аверс Плюс» г. Ярославль. – Издание под патронажем РНИМУ им. Н.И.Пирогова (Москва) и Ярославского государственного медицинского университета. - том 2 №2, 2018. – 40 стр_.</w:t>
      </w:r>
    </w:p>
    <w:p>
      <w:pPr>
        <w:spacing w:after="58"/>
      </w:pPr>
      <w:r>
        <w:rPr>
          <w:b w:val="0"/>
          <w:i w:val="0"/>
        </w:rPr>
        <w:t>Операции в области молочных желез. Увеличение молочных желез, редукция, подтяжка. Настооженность – стр 25.</w:t>
      </w:r>
    </w:p>
    <w:p>
      <w:pPr>
        <w:spacing w:after="58"/>
      </w:pPr>
      <w:r>
        <w:rPr>
          <w:b w:val="0"/>
          <w:i w:val="0"/>
        </w:rPr>
        <w:t>* Потемнение кожи по краям разрезов, замедление скорости сосудистого пятна, промокание повязки серозным отделяемым – признаки ишемии.</w:t>
      </w:r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>В качестве профилактической противорубцовой терапии при отсутствии склонности к гипертрофическому рубцеванию в анамнезе пациентке следует назначить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Букки-терапию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8" name="Picture 18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применение силиконовых тейпов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магнитотерапию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местную гормонотерапию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применение силиконовых тейпов</w:t>
      </w:r>
    </w:p>
    <w:p>
      <w:pPr>
        <w:spacing w:after="58"/>
      </w:pPr>
      <w:r>
        <w:rPr>
          <w:b w:val="0"/>
          <w:i w:val="0"/>
        </w:rPr>
        <w:t>Средством профилактики гипертрофических рубцов является использование силиконовых тейпов в домашних условиях</w:t>
      </w:r>
    </w:p>
    <w:p>
      <w:pPr>
        <w:spacing w:after="58"/>
      </w:pPr>
      <w:r>
        <w:rPr>
          <w:b w:val="0"/>
          <w:i w:val="0"/>
        </w:rPr>
        <w:t>_Федеральные клинические рекомендации по ведению больных с келоидными и гипертрофическими рубцами. Российское Общество Дерматовенерологов и Косметологов_</w:t>
      </w:r>
    </w:p>
    <w:p>
      <w:pPr>
        <w:spacing w:after="58"/>
      </w:pPr>
      <w:r>
        <w:rPr>
          <w:b w:val="0"/>
          <w:i w:val="0"/>
        </w:rPr>
        <w:t>_Москва, 2015. Лечение_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Частота планового ультразвукового исследования в отдаленном послеоперационном периоде у данной пациентки – 1 раз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5 лет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19" name="Picture 1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2 года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6 месяцев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год</w:t>
      </w:r>
    </w:p>
    <w:p>
      <w:pPr>
        <w:spacing w:after="58"/>
      </w:pPr>
      <w:r>
        <w:rPr>
          <w:b w:val="0"/>
          <w:i w:val="0"/>
        </w:rPr>
        <w:t>_Методические рекомендации по совершенствованию организации медицинской помощи при заболеваниях молочной железы. Приложение к приказу Минздрава РФ №154 от 15.03.2006 «О мерах совершенствования медицинской помощи при заболеваниях молочных желез» (12 стр)_</w:t>
      </w:r>
    </w:p>
    <w:p>
      <w:pPr>
        <w:spacing w:after="58"/>
      </w:pPr>
      <w:r>
        <w:rPr>
          <w:b w:val="0"/>
          <w:i w:val="0"/>
        </w:rPr>
        <w:t>Система обследования молочных желез женщин (стр 10)</w:t>
      </w:r>
    </w:p>
    <w:p>
      <w:pPr>
        <w:spacing w:after="58"/>
      </w:pPr>
      <w:r>
        <w:rPr>
          <w:b w:val="0"/>
          <w:i w:val="0"/>
        </w:rPr>
        <w:t>Рекомендовано ежегодное обследование молочных желез</w:t>
      </w:r>
    </w:p>
    <w:p>
      <w:r>
        <w:br w:type="page"/>
      </w:r>
    </w:p>
    <w:p>
      <w:pPr>
        <w:pStyle w:val="Heading1"/>
      </w:pPr>
      <w:bookmarkStart w:id="20" w:name="case_0002"/>
      <w:r>
        <w:t>Ситуационная задача 0002</w:t>
      </w:r>
      <w:bookmarkEnd w:id="20"/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Специальность: </w:t>
      </w:r>
      <w:r>
        <w:t>Пластическая хирургия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Женщина 35лет обратилась к врачу-пластическому хирургу.</w:t>
      </w:r>
    </w:p>
    <w:p>
      <w:pPr>
        <w:pStyle w:val="Heading3"/>
      </w:pPr>
      <w:r>
        <w:t>1.2. Жалобы</w:t>
      </w:r>
    </w:p>
    <w:p>
      <w:pPr>
        <w:spacing w:after="58"/>
      </w:pPr>
      <w:r>
        <w:rPr>
          <w:b w:val="0"/>
          <w:i w:val="0"/>
        </w:rPr>
        <w:t>На неэстетичный вид малых половых губ, неудовлетворенность качеством коитуса.</w:t>
      </w:r>
    </w:p>
    <w:p>
      <w:pPr>
        <w:pStyle w:val="Heading3"/>
      </w:pPr>
      <w:r>
        <w:t>1.3. Анамнез заболевания</w:t>
      </w:r>
    </w:p>
    <w:p>
      <w:pPr>
        <w:spacing w:after="58"/>
      </w:pPr>
      <w:r>
        <w:rPr>
          <w:b w:val="0"/>
          <w:i w:val="0"/>
        </w:rPr>
        <w:t>* Менструации с 12 лет, установились сразу, умеренные, по 4—5 16 дней, через 28 дней, регулярные, болезненные в первый день. После начала половой жизни и родов характер менструального цикла не изменялся. Последняя менструация 28 августа, в срок, без особенностей.</w:t>
      </w:r>
    </w:p>
    <w:p>
      <w:pPr>
        <w:spacing w:after="58"/>
      </w:pPr>
      <w:r>
        <w:rPr>
          <w:b w:val="0"/>
          <w:i w:val="0"/>
        </w:rPr>
        <w:t>* Первая беременность — 2011 г. Наступила после отмены гормональной контрацепции. Беременность завершилась своевременными самопроизвольными родами в головном предлежании крупным плодом. Масса тела 4250 г, рост 51 см, мальчик, 8—9 баллов по шкале Апгар. Выписана с ребенком домой на 3-е сутки. Кормила ребенка грудью до 2 лет. Вторая беременность — 2015 г. Беременность завершилась своевременными самопроизвольными родами в головном предлежании . Масса тела 3750 г, рост 50 см, мальчик, 8—9 баллов по шкале Апгар. Выписана с ребенком домой на 2-е сутки.).</w:t>
      </w:r>
    </w:p>
    <w:p>
      <w:pPr>
        <w:pStyle w:val="Heading3"/>
      </w:pPr>
      <w:r>
        <w:t>1.4. Анамнез жизни</w:t>
      </w:r>
    </w:p>
    <w:p>
      <w:pPr>
        <w:spacing w:after="58"/>
      </w:pPr>
      <w:r>
        <w:rPr>
          <w:b w:val="0"/>
          <w:i w:val="0"/>
        </w:rPr>
        <w:t>Росла и развивалась без особенностей.</w:t>
      </w:r>
    </w:p>
    <w:p>
      <w:pPr>
        <w:pStyle w:val="Heading3"/>
      </w:pPr>
      <w:r>
        <w:t>1.5. Объективный статус</w:t>
      </w:r>
    </w:p>
    <w:p>
      <w:pPr>
        <w:spacing w:after="58"/>
      </w:pPr>
      <w:r>
        <w:rPr>
          <w:b w:val="0"/>
          <w:i w:val="0"/>
        </w:rPr>
        <w:t>* Состояние удовлетворительное. Вес 55 кг, рост 167 см. Температура тела 36,6°С.</w:t>
      </w:r>
    </w:p>
    <w:p>
      <w:pPr>
        <w:spacing w:after="58"/>
      </w:pPr>
      <w:r>
        <w:rPr>
          <w:b w:val="0"/>
          <w:i w:val="0"/>
        </w:rPr>
        <w:t>* Кожные покровы и видимые слизистые физиологической окраски.</w:t>
      </w:r>
    </w:p>
    <w:p>
      <w:pPr>
        <w:spacing w:after="58"/>
      </w:pPr>
      <w:r>
        <w:rPr>
          <w:b w:val="0"/>
          <w:i w:val="0"/>
        </w:rPr>
        <w:t>* Дыхание через нос свободное. Грудная клетка правильной формы, симметричная. Над- и подключичные ямки умеренно выражены, одинаковы с обеих сторон, межреберные промежутки не расширены. Тип дыхания грудной, дыхательные движения ритмичные, средней глубины, обе половины грудной клетки одинаково участвуют в акте дыхания. ЧД – 16 в минуту.</w:t>
      </w:r>
    </w:p>
    <w:p>
      <w:pPr>
        <w:spacing w:after="58"/>
      </w:pPr>
      <w:r>
        <w:rPr>
          <w:b w:val="0"/>
          <w:i w:val="0"/>
        </w:rPr>
        <w:t>* При пальпации грудная клетка упругая, податливая, безболезненная. Молочные железы симметричны, без визуальных и пальпаторных симптомов опухолевой и иной патологии. Голосовое дрожание выражено умеренно, одинаково на симметричных участках грудной клетки. Перкуссия легких. Сравнительная перкуссия: над всей грудной клеткой в проекции легких определяется коробочный легочный звук. Границы лёгких в пределах нормы справа. Аускультация. Над всей поверхностью грудной клетки в проекции легких определяется везикулярное дыхание, хрипов нет, ЧДД 16 уд в мин. Ро2 98%</w:t>
      </w:r>
    </w:p>
    <w:p>
      <w:pPr>
        <w:spacing w:after="58"/>
      </w:pPr>
      <w:r>
        <w:rPr>
          <w:b w:val="0"/>
          <w:i w:val="0"/>
        </w:rPr>
        <w:t>* Гемодинамические показатели стабильные, тоны сердца ясные, ритм правильный, ЧСС 75 уд в мин, АД 110/70 мм.рт.ст.</w:t>
      </w:r>
    </w:p>
    <w:p>
      <w:pPr>
        <w:spacing w:after="58"/>
      </w:pPr>
      <w:r>
        <w:rPr>
          <w:b w:val="0"/>
          <w:i w:val="0"/>
        </w:rPr>
        <w:t>* Живот не вздут, не напряжен, при пальпации безболезненный. Перитонеальных симптомов нет. Мочеиспускание самостоятельное, в достаточном количестве, стул регулярный.</w:t>
      </w:r>
    </w:p>
    <w:p>
      <w:pPr>
        <w:spacing w:after="58"/>
      </w:pPr>
      <w:r>
        <w:rPr>
          <w:b w:val="0"/>
          <w:i w:val="0"/>
        </w:rPr>
        <w:t>*</w:t>
      </w:r>
    </w:p>
    <w:p>
      <w:pPr>
        <w:pStyle w:val="Heading2"/>
      </w:pPr>
      <w:r>
        <w:t>1. План обследования</w:t>
      </w:r>
    </w:p>
    <w:p>
      <w:pPr>
        <w:pStyle w:val="Heading3"/>
        <w:keepNext/>
      </w:pPr>
      <w:r>
        <w:rPr>
          <w:b/>
          <w:color w:val="173C49"/>
        </w:rPr>
        <w:t>Вопрос 1.</w:t>
      </w:r>
    </w:p>
    <w:p>
      <w:pPr>
        <w:keepNext/>
      </w:pPr>
      <w:r>
        <w:rPr>
          <w:b w:val="0"/>
          <w:i w:val="0"/>
        </w:rPr>
        <w:t>К основным методам обследования для постановки диагноза относится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1" name="Picture 2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визуальный осмотр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анализ крови, на количественное содержание половых гормонов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УЗИ органов малого таза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осмотр в зеркалах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визуальный осмотр</w:t>
      </w:r>
    </w:p>
    <w:p>
      <w:pPr>
        <w:spacing w:after="58"/>
      </w:pPr>
      <w:r>
        <w:rPr>
          <w:b w:val="0"/>
          <w:i w:val="0"/>
        </w:rPr>
        <w:t>На основании осмотра определяется предварительный диагноз</w:t>
      </w:r>
    </w:p>
    <w:p>
      <w:pPr>
        <w:spacing w:after="58"/>
      </w:pPr>
      <w:r>
        <w:rPr>
          <w:b w:val="0"/>
          <w:i w:val="0"/>
        </w:rPr>
        <w:t>Курс пластической хирургии: Руководство для врачей. В 2 т. / Под ред. К. П. Пшениснова</w:t>
      </w:r>
    </w:p>
    <w:p>
      <w:pPr>
        <w:spacing w:after="58"/>
      </w:pPr>
      <w:r>
        <w:rPr>
          <w:b w:val="0"/>
          <w:i w:val="0"/>
        </w:rPr>
        <w:t>ТОМ 2, Часть 5. Туловище и нижняя конечность</w:t>
      </w:r>
    </w:p>
    <w:p>
      <w:pPr>
        <w:spacing w:after="58"/>
      </w:pPr>
      <w:r>
        <w:rPr>
          <w:b w:val="0"/>
          <w:i w:val="0"/>
        </w:rPr>
        <w:t>Глава 5.5 Генитоуринарная реконструкция и эстетика наружных половых органов; стр. 1181</w:t>
      </w:r>
    </w:p>
    <w:p>
      <w:pPr>
        <w:pStyle w:val="Heading3"/>
        <w:keepNext/>
      </w:pPr>
      <w:r>
        <w:rPr>
          <w:b/>
          <w:color w:val="173C49"/>
        </w:rPr>
        <w:t>Вопрос 2.</w:t>
      </w:r>
    </w:p>
    <w:p>
      <w:pPr>
        <w:keepNext/>
      </w:pPr>
      <w:r>
        <w:rPr>
          <w:b w:val="0"/>
          <w:i w:val="0"/>
        </w:rPr>
        <w:t>Наиболее информативным методом постановки диагноза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2" name="Picture 22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измерение длины половых губ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скрининг ИППП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гистероскопия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кольпоскопия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измерение длины половых губ</w:t>
      </w:r>
    </w:p>
    <w:p>
      <w:pPr>
        <w:spacing w:after="58"/>
      </w:pPr>
      <w:r>
        <w:rPr>
          <w:b w:val="0"/>
          <w:i w:val="0"/>
        </w:rPr>
        <w:t>Измерение длины половых губ позволяет поставить диагноз гипертрофия малых половых губ и определить степень выраженности гипертрофии.</w:t>
      </w:r>
    </w:p>
    <w:p>
      <w:pPr>
        <w:spacing w:after="58"/>
      </w:pPr>
      <w:r>
        <w:rPr>
          <w:b w:val="0"/>
          <w:i w:val="0"/>
        </w:rPr>
        <w:t>Курс пластической хирургии: Руководство для врачей. В 2 т. / Под ред. К. П. Пшениснова</w:t>
      </w:r>
    </w:p>
    <w:p>
      <w:pPr>
        <w:spacing w:after="58"/>
      </w:pPr>
      <w:r>
        <w:rPr>
          <w:b w:val="0"/>
          <w:i w:val="0"/>
        </w:rPr>
        <w:t>ТОМ 2, Часть 5. Туловище и нижняя конечность</w:t>
      </w:r>
    </w:p>
    <w:p>
      <w:pPr>
        <w:spacing w:after="58"/>
      </w:pPr>
      <w:r>
        <w:rPr>
          <w:b w:val="0"/>
          <w:i w:val="0"/>
        </w:rPr>
        <w:t>Глава 5.5 Генитоуринарная реконструкция и эстетика наружных половых органов; стр. 118</w:t>
      </w:r>
    </w:p>
    <w:p>
      <w:pPr>
        <w:pStyle w:val="Heading2"/>
      </w:pPr>
      <w:r>
        <w:t>2. Диагноз</w:t>
      </w:r>
    </w:p>
    <w:p>
      <w:pPr>
        <w:pStyle w:val="Heading3"/>
        <w:keepNext/>
      </w:pPr>
      <w:r>
        <w:rPr>
          <w:b/>
          <w:color w:val="173C49"/>
        </w:rPr>
        <w:t>Вопрос 3.</w:t>
      </w:r>
    </w:p>
    <w:p>
      <w:pPr>
        <w:keepNext/>
      </w:pPr>
      <w:r>
        <w:rPr>
          <w:b w:val="0"/>
          <w:i w:val="0"/>
        </w:rPr>
        <w:t>Наиболее вероятным диагнозом в данной клинической ситуации является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3" name="Picture 23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Гипертрофия (элонгация) малых половых губ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Ректоцеле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Лейкоплакия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Эндометриоз наружных половых органов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Гипертрофия (элонгация) малых половых губ</w:t>
      </w:r>
    </w:p>
    <w:p>
      <w:pPr>
        <w:spacing w:after="58"/>
      </w:pPr>
      <w:r>
        <w:rPr>
          <w:b w:val="0"/>
          <w:i w:val="0"/>
        </w:rPr>
        <w:t>1.Эстетические: пациентку не устраивает форма или размер малых половых губ, что доставляет психологический дискомфорт.</w:t>
      </w:r>
    </w:p>
    <w:p>
      <w:pPr>
        <w:spacing w:after="58"/>
      </w:pPr>
      <w:r>
        <w:rPr>
          <w:b w:val="0"/>
          <w:i w:val="0"/>
        </w:rPr>
        <w:t>2. Медицинские: когда деформация или асимметрия малых половых губ возникла в результате родов или акушерских пособий. Также в эту группу можно отнести пациенток, у которых размер малых половых губ доставляет дискомфорт в повседневной жизни, связанный с ношением одежды, личной гигиеной и т. д.</w:t>
      </w:r>
    </w:p>
    <w:p>
      <w:pPr>
        <w:spacing w:after="58"/>
      </w:pPr>
      <w:r>
        <w:rPr>
          <w:b w:val="0"/>
          <w:i w:val="0"/>
        </w:rPr>
        <w:t>3. Улучшение качества сексуальной жизни. Здесь, кроме увеличения малых половых губ, имеет значение избыток кожи в зоне клитора</w:t>
      </w:r>
    </w:p>
    <w:p>
      <w:pPr>
        <w:spacing w:after="58"/>
      </w:pPr>
      <w:r>
        <w:rPr>
          <w:b w:val="0"/>
          <w:i w:val="0"/>
        </w:rPr>
        <w:t>Курс пластической хирургии: Руководство для врачей. В 2 т. / Под ред. К. П. Пшениснова</w:t>
      </w:r>
    </w:p>
    <w:p>
      <w:pPr>
        <w:spacing w:after="58"/>
      </w:pPr>
      <w:r>
        <w:rPr>
          <w:b w:val="0"/>
          <w:i w:val="0"/>
        </w:rPr>
        <w:t>ТОМ 2, Часть 5. Туловище и нижняя конечность</w:t>
      </w:r>
    </w:p>
    <w:p>
      <w:pPr>
        <w:spacing w:after="58"/>
      </w:pPr>
      <w:r>
        <w:rPr>
          <w:b w:val="0"/>
          <w:i w:val="0"/>
        </w:rPr>
        <w:t>Глава 5.5 Генитоуринарная реконструкция и эстетика наружных половых органов; стр. 1181</w:t>
      </w:r>
    </w:p>
    <w:p>
      <w:pPr>
        <w:pStyle w:val="Heading2"/>
      </w:pPr>
      <w:r>
        <w:t>3. Лечение</w:t>
      </w:r>
    </w:p>
    <w:p>
      <w:pPr>
        <w:pStyle w:val="Heading3"/>
        <w:keepNext/>
      </w:pPr>
      <w:r>
        <w:rPr>
          <w:b/>
          <w:color w:val="173C49"/>
        </w:rPr>
        <w:t>Вопрос 4.</w:t>
      </w:r>
    </w:p>
    <w:p>
      <w:pPr>
        <w:keepNext/>
      </w:pPr>
      <w:r>
        <w:rPr>
          <w:b w:val="0"/>
          <w:i w:val="0"/>
        </w:rPr>
        <w:t xml:space="preserve">Пациентке показано </w:t>
      </w:r>
      <w:r>
        <w:rPr>
          <w:b w:val="0"/>
          <w:i w:val="0"/>
        </w:rPr>
        <w:t>______________</w:t>
      </w:r>
      <w:r>
        <w:rPr>
          <w:b w:val="0"/>
          <w:i w:val="0"/>
        </w:rPr>
        <w:t xml:space="preserve"> лечение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лазерное абляционное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медикаментозное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лазерное фракционное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4" name="Picture 24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хирургическое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хирургическое</w:t>
      </w:r>
    </w:p>
    <w:p>
      <w:pPr>
        <w:spacing w:after="58"/>
      </w:pPr>
      <w:r>
        <w:rPr>
          <w:b w:val="0"/>
          <w:i w:val="0"/>
        </w:rPr>
        <w:t>Гипертрофия малых половых губ и желание пациентки в совокупности являются показанием для хирургической коррекции</w:t>
      </w:r>
    </w:p>
    <w:p>
      <w:pPr>
        <w:spacing w:after="58"/>
      </w:pPr>
      <w:r>
        <w:rPr>
          <w:b w:val="0"/>
          <w:i w:val="0"/>
        </w:rPr>
        <w:t>Курс пластической хирургии: Руководство для врачей. В 2 т. / Под ред. К. П. Пшениснова</w:t>
      </w:r>
    </w:p>
    <w:p>
      <w:pPr>
        <w:spacing w:after="58"/>
      </w:pPr>
      <w:r>
        <w:rPr>
          <w:b w:val="0"/>
          <w:i w:val="0"/>
        </w:rPr>
        <w:t>ТОМ 2, Часть 5. Туловище и нижняя конечность</w:t>
      </w:r>
    </w:p>
    <w:p>
      <w:pPr>
        <w:spacing w:after="58"/>
      </w:pPr>
      <w:r>
        <w:rPr>
          <w:b w:val="0"/>
          <w:i w:val="0"/>
        </w:rPr>
        <w:t>Глава 5.5 Генитоуринарная реконструкция и эстетика наружных половых органов; стр. 118</w:t>
      </w:r>
    </w:p>
    <w:p>
      <w:pPr>
        <w:pStyle w:val="Heading3"/>
        <w:keepNext/>
      </w:pPr>
      <w:r>
        <w:rPr>
          <w:b/>
          <w:color w:val="173C49"/>
        </w:rPr>
        <w:t>Вопрос 5.</w:t>
      </w:r>
    </w:p>
    <w:p>
      <w:pPr>
        <w:keepNext/>
      </w:pPr>
      <w:r>
        <w:rPr>
          <w:b w:val="0"/>
          <w:i w:val="0"/>
        </w:rPr>
        <w:t>Хирургическое лечение пациентки заключается 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5" name="Picture 25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резекции малых половых губ (редукционной лабиопластике)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липофиллинге малых половых губ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установке синтетического слинга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задней кольпоперинеолеваторопластике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резекции малых половых губ (редукционной лабиопластике)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0120"/>
      </w:tblGrid>
      <w:tr>
        <w:trPr>
          <w:tblHeader w:val="true"/>
        </w:trPr>
        <w:tc>
          <w:tcPr>
            <w:tcW w:type="dxa" w:w="10120"/>
          </w:tcPr>
          <w:p/>
        </w:tc>
      </w:tr>
      <w:tr>
        <w:tc>
          <w:tcPr>
            <w:tcW w:type="dxa" w:w="10120"/>
          </w:tcPr>
          <w:p/>
        </w:tc>
      </w:tr>
      <w:tr>
        <w:tc>
          <w:tcPr>
            <w:tcW w:type="dxa" w:w="10120"/>
          </w:tcPr>
          <w:p/>
        </w:tc>
      </w:tr>
      <w:tr>
        <w:tc>
          <w:tcPr>
            <w:tcW w:type="dxa" w:w="10120"/>
          </w:tcPr>
          <w:p/>
        </w:tc>
      </w:tr>
    </w:tbl>
    <w:p/>
    <w:p>
      <w:r>
        <w:drawing>
          <wp:inline xmlns:a="http://schemas.openxmlformats.org/drawingml/2006/main" xmlns:pic="http://schemas.openxmlformats.org/drawingml/2006/picture">
            <wp:extent cx="5303520" cy="5198707"/>
            <wp:docPr id="26" name="Picture 26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fbaf8cb7af6da56f9dd8a46f72ec5594fdcf165d.png"/>
                    <pic:cNvPicPr/>
                  </pic:nvPicPr>
                  <pic:blipFill>
                    <a:blip r:embed="rId26"/>
                    <a:stretch>
                      <a:fillRect/>
                    </a:stretch>
                  </pic:blipFill>
                  <pic:spPr>
                    <a:xfrm>
                      <a:off x="0" y="0"/>
                      <a:ext cx="5303520" cy="5198707"/>
                    </a:xfrm>
                    <a:prstGeom prst="rect"/>
                  </pic:spPr>
                </pic:pic>
              </a:graphicData>
            </a:graphic>
          </wp:inline>
        </w:drawing>
      </w:r>
    </w:p>
    <w:p>
      <w:pPr>
        <w:jc w:val="center"/>
      </w:pPr>
      <w:r>
        <w:rPr>
          <w:i/>
        </w:rPr>
        <w:t>Justification</w:t>
      </w:r>
    </w:p>
    <w:p>
      <w:pPr>
        <w:spacing w:after="58"/>
      </w:pPr>
      <w:r>
        <w:rPr>
          <w:b w:val="0"/>
          <w:i w:val="0"/>
        </w:rPr>
        <w:t>Курс пластической хирургии: Руководство для врачей. В 2 т. / Под ред. К. П. Пшениснова</w:t>
      </w:r>
    </w:p>
    <w:p>
      <w:pPr>
        <w:spacing w:after="58"/>
      </w:pPr>
      <w:r>
        <w:rPr>
          <w:b w:val="0"/>
          <w:i w:val="0"/>
        </w:rPr>
        <w:t>ТОМ 2, Часть 5. Туловище и нижняя конечность</w:t>
      </w:r>
    </w:p>
    <w:p>
      <w:pPr>
        <w:spacing w:after="58"/>
      </w:pPr>
      <w:r>
        <w:rPr>
          <w:b w:val="0"/>
          <w:i w:val="0"/>
        </w:rPr>
        <w:t>Глава 5.5 Генитоуринарная реконструкция и эстетика наружных половых органов; стр. 1181</w:t>
      </w:r>
    </w:p>
    <w:p>
      <w:pPr>
        <w:pStyle w:val="Heading3"/>
        <w:keepNext/>
      </w:pPr>
      <w:r>
        <w:rPr>
          <w:b/>
          <w:color w:val="173C49"/>
        </w:rPr>
        <w:t>Вопрос 6.</w:t>
      </w:r>
    </w:p>
    <w:p>
      <w:pPr>
        <w:keepNext/>
      </w:pPr>
      <w:r>
        <w:rPr>
          <w:b w:val="0"/>
          <w:i w:val="0"/>
        </w:rPr>
        <w:t>Лечение пациентки должно проводится в условиях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кабинета пластического хирурга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7" name="Picture 27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стационара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дневного стационара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поликлиники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стационара</w:t>
      </w:r>
    </w:p>
    <w:p>
      <w:pPr>
        <w:spacing w:after="58"/>
      </w:pPr>
      <w:r>
        <w:rPr>
          <w:b w:val="0"/>
          <w:i w:val="0"/>
        </w:rPr>
        <w:t>Пластические операции выполняют в условиях стационара с лицензией на медицинскую деятельность по профилю «Пластическая хирургия»</w:t>
      </w:r>
    </w:p>
    <w:p>
      <w:pPr>
        <w:spacing w:after="58"/>
      </w:pPr>
      <w:r>
        <w:rPr>
          <w:b w:val="0"/>
          <w:i w:val="0"/>
        </w:rPr>
        <w:t>Курс пластической хирургии: Руководство для врачей. В 2 т. / Под ред. К. П. Пшениснова</w:t>
      </w:r>
    </w:p>
    <w:p>
      <w:pPr>
        <w:spacing w:after="58"/>
      </w:pPr>
      <w:r>
        <w:rPr>
          <w:b w:val="0"/>
          <w:i w:val="0"/>
        </w:rPr>
        <w:t>ТОМ 2, Часть 5. Туловище и нижняя конечность</w:t>
      </w:r>
    </w:p>
    <w:p>
      <w:pPr>
        <w:spacing w:after="58"/>
      </w:pPr>
      <w:r>
        <w:rPr>
          <w:b w:val="0"/>
          <w:i w:val="0"/>
        </w:rPr>
        <w:t>Глава 5.5 Генитоуринарная реконструкция и эстетика наружных половых органов; стр. 1182</w:t>
      </w:r>
    </w:p>
    <w:p>
      <w:pPr>
        <w:pStyle w:val="Heading3"/>
        <w:keepNext/>
      </w:pPr>
      <w:r>
        <w:rPr>
          <w:b/>
          <w:color w:val="173C49"/>
        </w:rPr>
        <w:t>Вопрос 7.</w:t>
      </w:r>
    </w:p>
    <w:p>
      <w:pPr>
        <w:keepNext/>
      </w:pPr>
      <w:r>
        <w:rPr>
          <w:b w:val="0"/>
          <w:i w:val="0"/>
        </w:rPr>
        <w:t>Пациентке показано редукционная лабиопластика в объеме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8" name="Picture 28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классической V-образной резекции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резекции одной половой губы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пластики преддверия влагалища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редукции препуция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классической V-образной резекции</w:t>
      </w:r>
    </w:p>
    <w:p>
      <w:pPr>
        <w:spacing w:after="58"/>
      </w:pPr>
      <w:r>
        <w:rPr>
          <w:b w:val="0"/>
          <w:i w:val="0"/>
        </w:rPr>
        <w:t>Необходимо выбрать один из видов резекции малых половых губ</w:t>
      </w:r>
    </w:p>
    <w:p>
      <w:pPr>
        <w:spacing w:after="58"/>
      </w:pPr>
      <w:r>
        <w:rPr>
          <w:b w:val="0"/>
          <w:i w:val="0"/>
        </w:rPr>
        <w:t>Курс пластической хирургии: Руководство для врачей. В 2 т. / Под ред. К. П. Пшениснова</w:t>
      </w:r>
    </w:p>
    <w:p>
      <w:pPr>
        <w:spacing w:after="58"/>
      </w:pPr>
      <w:r>
        <w:rPr>
          <w:b w:val="0"/>
          <w:i w:val="0"/>
        </w:rPr>
        <w:t>ТОМ 2, Часть 5. Туловище и нижняя конечность</w:t>
      </w:r>
    </w:p>
    <w:p>
      <w:pPr>
        <w:spacing w:after="58"/>
      </w:pPr>
      <w:r>
        <w:rPr>
          <w:b w:val="0"/>
          <w:i w:val="0"/>
        </w:rPr>
        <w:t>Глава 5.5 Генитоуринарная реконструкция и эстетика наружных половых органов; стр. 1182</w:t>
      </w:r>
    </w:p>
    <w:p>
      <w:pPr>
        <w:pStyle w:val="Heading3"/>
        <w:keepNext/>
      </w:pPr>
      <w:r>
        <w:rPr>
          <w:b/>
          <w:color w:val="173C49"/>
        </w:rPr>
        <w:t>Вопрос 8.</w:t>
      </w:r>
    </w:p>
    <w:p>
      <w:pPr>
        <w:keepNext/>
      </w:pPr>
      <w:r>
        <w:rPr>
          <w:b w:val="0"/>
          <w:i w:val="0"/>
        </w:rPr>
        <w:t>К группе препаратов, обязательно применяемым в послеоперационном периоде, относятся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бронхолитики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29" name="Picture 29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нестероидные противовоспалительные средства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ингибиторы протоновой помпы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муколитики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нестероидные противовоспалительные средства</w:t>
      </w:r>
    </w:p>
    <w:p>
      <w:pPr>
        <w:spacing w:after="58"/>
      </w:pPr>
      <w:r>
        <w:rPr>
          <w:b w:val="0"/>
          <w:i w:val="0"/>
        </w:rPr>
        <w:t>Для снижения отека и болевых ощущений в области операции необходимо назначить нестероидные противовоспалительные препараты на 3-5 дней</w:t>
      </w:r>
    </w:p>
    <w:p>
      <w:pPr>
        <w:spacing w:after="58"/>
      </w:pPr>
      <w:r>
        <w:rPr>
          <w:b w:val="0"/>
          <w:i w:val="0"/>
        </w:rPr>
        <w:t>Курс пластической хирургии: Руководство для врачей. В 2 т. / Под ред. К. П. Пшениснова</w:t>
      </w:r>
    </w:p>
    <w:p>
      <w:pPr>
        <w:spacing w:after="58"/>
      </w:pPr>
      <w:r>
        <w:rPr>
          <w:b w:val="0"/>
          <w:i w:val="0"/>
        </w:rPr>
        <w:t>ТОМ 2, Часть 5. Туловище и нижняя конечность</w:t>
      </w:r>
    </w:p>
    <w:p>
      <w:pPr>
        <w:spacing w:after="58"/>
      </w:pPr>
      <w:r>
        <w:rPr>
          <w:b w:val="0"/>
          <w:i w:val="0"/>
        </w:rPr>
        <w:t>Глава 5.5 Генитоуринарная реконструкция и эстетика наружных половых органов; стр. 1184</w:t>
      </w:r>
    </w:p>
    <w:p>
      <w:pPr>
        <w:pStyle w:val="Heading3"/>
        <w:keepNext/>
      </w:pPr>
      <w:r>
        <w:rPr>
          <w:b/>
          <w:color w:val="173C49"/>
        </w:rPr>
        <w:t>Вопрос 9.</w:t>
      </w:r>
    </w:p>
    <w:p>
      <w:pPr>
        <w:keepNext/>
      </w:pPr>
      <w:r>
        <w:rPr>
          <w:b w:val="0"/>
          <w:i w:val="0"/>
        </w:rPr>
        <w:t>Операцию необходимо проводить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0" name="Picture 30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первые 2 недели овариально-менструального цикла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после 25 дня овариально-менструального цикла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1-3 день овариально-менструального цикла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7-10 день овариально-менструального цикла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первые 2 недели овариально-менструального цикла</w:t>
      </w:r>
    </w:p>
    <w:p>
      <w:pPr>
        <w:spacing w:after="58"/>
      </w:pPr>
      <w:r>
        <w:rPr>
          <w:b w:val="0"/>
          <w:i w:val="0"/>
        </w:rPr>
        <w:t>Операцию необходимо провести в первые 2 недели овариально-менструального цикла</w:t>
      </w:r>
    </w:p>
    <w:p>
      <w:pPr>
        <w:spacing w:after="58"/>
      </w:pPr>
      <w:r>
        <w:rPr>
          <w:b w:val="0"/>
          <w:i w:val="0"/>
        </w:rPr>
        <w:t>Курс пластической хирургии: Руководство для врачей. В 2 т. / Под ред. К. П. Пшениснова</w:t>
      </w:r>
    </w:p>
    <w:p>
      <w:pPr>
        <w:spacing w:after="58"/>
      </w:pPr>
      <w:r>
        <w:rPr>
          <w:b w:val="0"/>
          <w:i w:val="0"/>
        </w:rPr>
        <w:t>ТОМ 2, Часть 5. Туловище и нижняя конечность</w:t>
      </w:r>
    </w:p>
    <w:p>
      <w:pPr>
        <w:spacing w:after="58"/>
      </w:pPr>
      <w:r>
        <w:rPr>
          <w:b w:val="0"/>
          <w:i w:val="0"/>
        </w:rPr>
        <w:t>Глава 5.5 Генитоуринарная реконструкция и эстетика наружных половых органов; стр. 1181</w:t>
      </w:r>
    </w:p>
    <w:p>
      <w:pPr>
        <w:pStyle w:val="Heading2"/>
      </w:pPr>
      <w:r>
        <w:t>4. Вариатив</w:t>
      </w:r>
    </w:p>
    <w:p>
      <w:pPr>
        <w:pStyle w:val="Heading3"/>
        <w:keepNext/>
      </w:pPr>
      <w:r>
        <w:rPr>
          <w:b/>
          <w:color w:val="173C49"/>
        </w:rPr>
        <w:t>Вопрос 10.</w:t>
      </w:r>
    </w:p>
    <w:p>
      <w:pPr>
        <w:keepNext/>
      </w:pPr>
      <w:r>
        <w:rPr>
          <w:b w:val="0"/>
          <w:i w:val="0"/>
        </w:rPr>
        <w:t>Пациентке после выписки из стационара следует рекомендовать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1" name="Picture 31" title="Правильный вариант 1" descr="Правильный ответ: вариант 1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1.png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динамическое наблюдение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курс антибактериальной терапии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самолечение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курс антикоагулянтной терапии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1 - динамическое наблюдение</w:t>
      </w:r>
    </w:p>
    <w:p>
      <w:pPr>
        <w:spacing w:after="58"/>
      </w:pPr>
      <w:r>
        <w:rPr>
          <w:b w:val="0"/>
          <w:i w:val="0"/>
        </w:rPr>
        <w:t>После операции необходимо динамическое наблюдение с контролем состояния послеоперационного шва на 3 и 7 сутки</w:t>
      </w:r>
    </w:p>
    <w:p>
      <w:pPr>
        <w:spacing w:after="58"/>
      </w:pPr>
      <w:r>
        <w:rPr>
          <w:b w:val="0"/>
          <w:i w:val="0"/>
        </w:rPr>
        <w:t>Курс пластической хирургии: Руководство для врачей. В 2 т. / Под ред. К. П. Пшениснова</w:t>
      </w:r>
    </w:p>
    <w:p>
      <w:pPr>
        <w:spacing w:after="58"/>
      </w:pPr>
      <w:r>
        <w:rPr>
          <w:b w:val="0"/>
          <w:i w:val="0"/>
        </w:rPr>
        <w:t>ТОМ 2, Часть 5. Туловище и нижняя конечность</w:t>
      </w:r>
    </w:p>
    <w:p>
      <w:pPr>
        <w:spacing w:after="58"/>
      </w:pPr>
      <w:r>
        <w:rPr>
          <w:b w:val="0"/>
          <w:i w:val="0"/>
        </w:rPr>
        <w:t>Глава 5.5 Генитоуринарная реконструкция и эстетика наружных половых органов; стр. 1183</w:t>
      </w:r>
    </w:p>
    <w:p>
      <w:pPr>
        <w:pStyle w:val="Heading3"/>
        <w:keepNext/>
      </w:pPr>
      <w:r>
        <w:rPr>
          <w:b/>
          <w:color w:val="173C49"/>
        </w:rPr>
        <w:t>Вопрос 11.</w:t>
      </w:r>
    </w:p>
    <w:p>
      <w:pPr>
        <w:keepNext/>
      </w:pPr>
      <w:r>
        <w:rPr>
          <w:b w:val="0"/>
          <w:i w:val="0"/>
        </w:rPr>
        <w:t xml:space="preserve">Оценку результата коррекции следует проводить через </w:t>
      </w:r>
      <w:r>
        <w:rPr>
          <w:b w:val="0"/>
          <w:i w:val="0"/>
        </w:rPr>
        <w:t>___________</w:t>
      </w:r>
      <w:r>
        <w:rPr>
          <w:b w:val="0"/>
          <w:i w:val="0"/>
        </w:rPr>
        <w:t xml:space="preserve"> после коррекции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1 год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2.</w:t>
      </w:r>
      <w:r>
        <w:tab/>
      </w:r>
      <w:r>
        <w:rPr>
          <w:b w:val="0"/>
          <w:i w:val="0"/>
        </w:rPr>
        <w:t>1 неделю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6 месяцев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2" name="Picture 32" title="Правильный вариант 4" descr="Правильный ответ: вариант 4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4.png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1 месяц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4 - 1 месяц</w:t>
      </w:r>
    </w:p>
    <w:p>
      <w:pPr>
        <w:spacing w:after="58"/>
      </w:pPr>
      <w:r>
        <w:rPr>
          <w:b w:val="0"/>
          <w:i w:val="0"/>
        </w:rPr>
        <w:t>Оценку результатов оперативного вмешательства проводят после реабилитационного периода - 1 мес</w:t>
      </w:r>
    </w:p>
    <w:p>
      <w:pPr>
        <w:spacing w:after="58"/>
      </w:pPr>
      <w:r>
        <w:rPr>
          <w:b w:val="0"/>
          <w:i w:val="0"/>
        </w:rPr>
        <w:t>Курс пластической хирургии: Руководство для врачей. В 2 т. / Под ред. К. П. Пшениснова</w:t>
      </w:r>
    </w:p>
    <w:p>
      <w:pPr>
        <w:spacing w:after="58"/>
      </w:pPr>
      <w:r>
        <w:rPr>
          <w:b w:val="0"/>
          <w:i w:val="0"/>
        </w:rPr>
        <w:t>ТОМ 2, Часть 5. Туловище и нижняя конечность</w:t>
      </w:r>
    </w:p>
    <w:p>
      <w:pPr>
        <w:spacing w:after="58"/>
      </w:pPr>
      <w:r>
        <w:rPr>
          <w:b w:val="0"/>
          <w:i w:val="0"/>
        </w:rPr>
        <w:t>Глава 5.5 Генитоуринарная реконструкция и эстетика наружных половых органов; стр. 1183</w:t>
      </w:r>
    </w:p>
    <w:p>
      <w:pPr>
        <w:pStyle w:val="Heading3"/>
        <w:keepNext/>
      </w:pPr>
      <w:r>
        <w:rPr>
          <w:b/>
          <w:color w:val="173C49"/>
        </w:rPr>
        <w:t>Вопрос 12.</w:t>
      </w:r>
    </w:p>
    <w:p>
      <w:pPr>
        <w:keepNext/>
      </w:pPr>
      <w:r>
        <w:rPr>
          <w:b w:val="0"/>
          <w:i w:val="0"/>
        </w:rPr>
        <w:t>Перевязки заключаются 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1.</w:t>
      </w:r>
      <w:r>
        <w:tab/>
      </w:r>
      <w:r>
        <w:rPr>
          <w:b w:val="0"/>
          <w:i w:val="0"/>
        </w:rPr>
        <w:t>применении антибактериальных мазей</w:t>
      </w:r>
    </w:p>
    <w:p>
      <w:pPr>
        <w:tabs>
          <w:tab w:pos="490" w:val="left"/>
        </w:tabs>
        <w:spacing w:after="60"/>
        <w:ind w:left="490" w:hanging="490"/>
      </w:pPr>
      <w:r>
        <w:drawing>
          <wp:inline xmlns:a="http://schemas.openxmlformats.org/drawingml/2006/main" xmlns:pic="http://schemas.openxmlformats.org/drawingml/2006/picture">
            <wp:extent cx="214884" cy="214884"/>
            <wp:docPr id="33" name="Picture 33" title="Правильный вариант 2" descr="Правильный ответ: вариант 2"/>
            <wp:cNvGraphicFramePr>
              <a:graphicFrameLocks noChangeAspect="1"/>
            </wp:cNvGraphicFramePr>
            <a:graphic>
              <a:graphicData uri="http://schemas.openxmlformats.org/drawingml/2006/picture">
                <pic:pic>
                  <pic:nvPicPr>
                    <pic:cNvPr id="0" name="correct-choice-2.png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214884" cy="214884"/>
                    </a:xfrm>
                    <a:prstGeom prst="rect"/>
                  </pic:spPr>
                </pic:pic>
              </a:graphicData>
            </a:graphic>
          </wp:inline>
        </w:drawing>
      </w:r>
      <w:r>
        <w:tab/>
      </w:r>
      <w:r>
        <w:rPr>
          <w:b w:val="0"/>
          <w:i w:val="0"/>
        </w:rPr>
        <w:t>обмывании послеоперационной раны растворами антисептиков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3.</w:t>
      </w:r>
      <w:r>
        <w:tab/>
      </w:r>
      <w:r>
        <w:rPr>
          <w:b w:val="0"/>
          <w:i w:val="0"/>
        </w:rPr>
        <w:t>наложении (смене) стрипов</w:t>
      </w:r>
    </w:p>
    <w:p>
      <w:pPr>
        <w:tabs>
          <w:tab w:pos="490" w:val="left"/>
        </w:tabs>
        <w:spacing w:after="60"/>
        <w:ind w:left="490" w:hanging="490"/>
      </w:pPr>
      <w:r>
        <w:rPr>
          <w:b/>
        </w:rPr>
        <w:t>4.</w:t>
      </w:r>
      <w:r>
        <w:tab/>
      </w:r>
      <w:r>
        <w:rPr>
          <w:b w:val="0"/>
          <w:i w:val="0"/>
        </w:rPr>
        <w:t>применении гормональных мазей</w:t>
      </w:r>
    </w:p>
    <w:p>
      <w:pPr>
        <w:ind w:left="288"/>
      </w:pPr>
      <w:r>
        <w:rPr>
          <w:b/>
          <w:color w:val="173C49"/>
        </w:rPr>
        <w:t>Правильный ответ:</w:t>
      </w:r>
      <w:r>
        <w:br/>
      </w:r>
      <w:r>
        <w:rPr>
          <w:b/>
          <w:i w:val="0"/>
        </w:rPr>
        <w:t>2 - обмывании послеоперационной раны растворами антисептиков</w:t>
      </w:r>
    </w:p>
    <w:p>
      <w:pPr>
        <w:spacing w:after="58"/>
      </w:pPr>
      <w:r>
        <w:rPr>
          <w:b w:val="0"/>
          <w:i w:val="0"/>
        </w:rPr>
        <w:t>Обработка послеоперационного шва включает орошение антисептическим раствором 4-5 раз в день</w:t>
      </w:r>
    </w:p>
    <w:p>
      <w:pPr>
        <w:spacing w:after="58"/>
      </w:pPr>
      <w:r>
        <w:rPr>
          <w:b w:val="0"/>
          <w:i w:val="0"/>
        </w:rPr>
        <w:t>Курс пластической хирургии: Руководство для врачей. В 2 т. / Под ред. К. П. Пшениснова</w:t>
      </w:r>
    </w:p>
    <w:p>
      <w:pPr>
        <w:spacing w:after="58"/>
      </w:pPr>
      <w:r>
        <w:rPr>
          <w:b w:val="0"/>
          <w:i w:val="0"/>
        </w:rPr>
        <w:t>ТОМ 2, Часть 5. Туловище и нижняя конечность</w:t>
      </w:r>
    </w:p>
    <w:p>
      <w:pPr>
        <w:spacing w:after="58"/>
      </w:pPr>
      <w:r>
        <w:rPr>
          <w:b w:val="0"/>
          <w:i w:val="0"/>
        </w:rPr>
        <w:t>Глава 5.5 Генитоуринарная реконструкция и эстетика наружных половых органов; стр. 1183</w:t>
      </w:r>
    </w:p>
    <w:sectPr w:rsidR="00FC693F" w:rsidRPr="0006063C" w:rsidSect="00034616">
      <w:headerReference w:type="default" r:id="rId17"/>
      <w:footerReference w:type="default" r:id="rId18"/>
      <w:pgSz w:w="11906" w:h="16838"/>
      <w:pgMar w:top="749" w:right="893" w:bottom="835" w:left="893" w:header="720" w:footer="720" w:gutter="0"/>
      <w:cols w:space="720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right"/>
    </w:pPr>
    <w:r>
      <w:rPr>
        <w:rFonts w:ascii="Arial" w:hAnsi="Arial"/>
        <w:b w:val="0"/>
        <w:color w:val="5B7180"/>
        <w:sz w:val="14"/>
      </w:rPr>
      <w:t xml:space="preserve">medikcase.ru · </w:t>
    </w:r>
    <w:r>
      <w:fldChar w:fldCharType="begin"/>
      <w:instrText xml:space="preserve"> PAGE </w:instrText>
      <w:fldChar w:fldCharType="end"/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</w:pPr>
    <w:r>
      <w:rPr>
        <w:rFonts w:ascii="Arial" w:hAnsi="Arial"/>
        <w:b/>
        <w:color w:val="173C49"/>
        <w:sz w:val="14"/>
      </w:rPr>
      <w:t>MedikCase · Пластическая хирургия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Arial" w:hAnsi="Arial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Arial" w:hAnsi="Arial"/>
      <w:b/>
      <w:bCs/>
      <w:color w:val="173C49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Arial" w:hAnsi="Arial"/>
      <w:b/>
      <w:bCs/>
      <w:color w:val="173C49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Arial" w:hAnsi="Arial"/>
      <w:b/>
      <w:bCs/>
      <w:color w:val="173C49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image" Target="media/image1.png"/><Relationship Id="rId10" Type="http://schemas.openxmlformats.org/officeDocument/2006/relationships/hyperlink" Target="https://fmza.ru/" TargetMode="External"/><Relationship Id="rId11" Type="http://schemas.openxmlformats.org/officeDocument/2006/relationships/hyperlink" Target="https://selftest.mededtech.ru/" TargetMode="External"/><Relationship Id="rId12" Type="http://schemas.openxmlformats.org/officeDocument/2006/relationships/hyperlink" Target="https://medikcase.ru/" TargetMode="External"/><Relationship Id="rId13" Type="http://schemas.openxmlformats.org/officeDocument/2006/relationships/hyperlink" Target="https://t.me/medikcase" TargetMode="External"/><Relationship Id="rId14" Type="http://schemas.openxmlformats.org/officeDocument/2006/relationships/hyperlink" Target="mailto:support@medikcase.ru" TargetMode="External"/><Relationship Id="rId15" Type="http://schemas.openxmlformats.org/officeDocument/2006/relationships/image" Target="media/image2.png"/><Relationship Id="rId16" Type="http://schemas.openxmlformats.org/officeDocument/2006/relationships/image" Target="media/image3.png"/><Relationship Id="rId17" Type="http://schemas.openxmlformats.org/officeDocument/2006/relationships/header" Target="header1.xml"/><Relationship Id="rId18" Type="http://schemas.openxmlformats.org/officeDocument/2006/relationships/footer" Target="footer1.xml"/><Relationship Id="rId19" Type="http://schemas.openxmlformats.org/officeDocument/2006/relationships/image" Target="media/image4.png"/><Relationship Id="rId20" Type="http://schemas.openxmlformats.org/officeDocument/2006/relationships/image" Target="media/image5.png"/><Relationship Id="rId21" Type="http://schemas.openxmlformats.org/officeDocument/2006/relationships/image" Target="media/image6.png"/><Relationship Id="rId22" Type="http://schemas.openxmlformats.org/officeDocument/2006/relationships/image" Target="media/image7.png"/><Relationship Id="rId23" Type="http://schemas.openxmlformats.org/officeDocument/2006/relationships/hyperlink" Target="https://library.mededtech.ru/rest/documents/rek_giperprolact_14/" TargetMode="External"/><Relationship Id="rId24" Type="http://schemas.openxmlformats.org/officeDocument/2006/relationships/image" Target="media/image8.png"/><Relationship Id="rId25" Type="http://schemas.openxmlformats.org/officeDocument/2006/relationships/image" Target="media/image9.png"/><Relationship Id="rId26" Type="http://schemas.openxmlformats.org/officeDocument/2006/relationships/image" Target="media/image1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